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a85e" w14:textId="82ba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2021 года № 272.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18-7)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18-8)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"18-7) формирование и согласование с заинтересованными государственными органами Республики Казахстан предложения по вопросам специальных защитных, антидемпинговых и компенсационных мер;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18-8) разработка нормативных правовых актов по вопросам специальных защитных, антидемпинговых и компенсационных мер;";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осуществление в пределах своей компетенции развития и продвижения несырьевого экспорта;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работы отраслевых государственных органов Республики Казахстан по вопросам развития и продвижения несырьевого экспорта;";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разработка и утверждение в пределах своей компетенции нормативных правовых актов по вопросам продвижения несырьевого экспорта;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и утверждение в пределах своей компетенции меры по продвижению экспорта с учетом международных обязательств Республики Казахстан;";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28-1) и 28-2) следующего содержания: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разработка и утверждение правил возмещения части затрат субъектов индустриально-инновационной деятельности по продвижению отечественных обработанных товаров, а также информационно-коммуникационных услуг на внешние рынки;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28-2) разработка и утверждение перечня отечественных обработанных товаров, а также информационно-коммуникационных услуг, по которым частично возмещаются затраты по их продвижению на внешние рынки;";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"55) ведение реестра лицензий в сфере импорта товаров;";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