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a85e" w14:textId="82ba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2021 года № 272.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торговли и интеграции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18-7)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"18-7) формирование и согласование с заинтересованными государственными органами Республики Казахстан предложения по вопросам специальных защитных, антидемпинговых и компенсационных мер;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18-8) разработка нормативных правовых актов по вопросам специальных защитных, антидемпинговых и компенсационных мер;";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осуществление в пределах своей компетенции развития и продвижения несырьевого экспорта;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работы отраслевых государственных органов Республики Казахстан по вопросам развития и продвижения несырьевого экспорта;";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разработка и утверждение в пределах своей компетенции нормативных правовых актов по вопросам продвижения несырьевого экспорта;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и утверждение в пределах своей компетенции меры по продвижению экспорта с учетом международных обязательств Республики Казахстан;";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28-1) и 28-2) следующего содержания: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разработка и утверждение правил возмещения части затрат субъектов индустриально-инновационной деятельности по продвижению отечественных обработанных товаров, а также информационно-коммуникационных услуг на внешние рынки;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28-2) разработка и утверждение перечня отечественных обработанных товаров, а также информационно-коммуникационных услуг, по которым частично возмещаются затраты по их продвижению на внешние рынки;";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"55) ведение реестра лицензий в сфере импорта товаров;";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