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a133" w14:textId="3d0a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2021 года № 543.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14,2 (четырнадцать целых и две десятых) процента от чистого дохода, отраженного в консолидированной годовой финансовой отчетности по итогам 2020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