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8ee1" w14:textId="0058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13 декабря 2011 года № 1525 "О некоторых вопросах Карачаганакского проекта"</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2021 года № 959.</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декабря 2011 года № 1525 "О некоторых вопросах Карачаганакского проекта"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о Налоговом режиме Окончательного Соглашения о Разделе Продукции подрядного участка Карачаганакского нефтегазоконденсатного месторождения от 18 ноября 1997 года между компаниями Аджип Карачаганак Б.В. ("Аджип"), БГ Эксплорейшн энд Продакшн Лимитед ("Бритиш Газ"), Тексако Интернэшнл Петролеум Компани ("Тексако"), Открытым Акционерным Обществом "Нефтяная Компания "ЛУКойл" ("Лукойл"), Акционерным Обществом Закрытого Типа "Национальная Нефтегазовая Компания "Казахойл" ("Казахойл") и Правительством Республики Казахстан, утвержденной указанным постановлением: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47</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второй абзац </w:t>
      </w:r>
      <w:r>
        <w:rPr>
          <w:rFonts w:ascii="Times New Roman"/>
          <w:b w:val="false"/>
          <w:i w:val="false"/>
          <w:color w:val="000000"/>
          <w:sz w:val="28"/>
        </w:rPr>
        <w:t>подпункта 5)</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"(а) стоимость основных средств относится на вычет путем начисления амортизационных отчислений. Основные средства подразделяются на группы с установленными предельными нормами амортизации в соответствии с Приложением № 1 настоящей Инструкции, за исключением расходов, подлежащих 100% амортизации в соответствии с пунктами (9) и (11) настоящего пункта 47, которые образуют отдельную налоговую группу с нормой амортизации до 100 %, применяемой по усмотрению каждой Подрядной компании. Для целей представления налоговой отчетности такая отдельная налоговая группа с нормой амортизации до 100% не подлежит разделению.";</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"9) расходы по собственному строительству, понесенные в соответствии и в связи с Соглашением, стоимость приобретенного Технологического оборудования со сроком эксплуатации более чем три года подлежат вычету посредством амортизации по ставке до 100 % по усмотрению каждой Подрядной компании с момента вступления Соглашения в силу.</w:t>
      </w:r>
    </w:p>
    <w:bookmarkEnd w:id="6"/>
    <w:bookmarkStart w:name="z12" w:id="7"/>
    <w:p>
      <w:pPr>
        <w:spacing w:after="0"/>
        <w:ind w:left="0"/>
        <w:jc w:val="both"/>
      </w:pPr>
      <w:r>
        <w:rPr>
          <w:rFonts w:ascii="Times New Roman"/>
          <w:b w:val="false"/>
          <w:i w:val="false"/>
          <w:color w:val="000000"/>
          <w:sz w:val="28"/>
        </w:rPr>
        <w:t>
      С учетом положений Раздела 19.3 (d) (VIII) Соглашения такие расходы образуют единую отдельную налоговую группу с нормой амортизации до 100 % с начала эксплуатации соответствующего актива;";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"11) затраты на содержание, ремонт и обновление активов и сооружений, переданных Республикой в пользование Подрядчику, подлежат отнесению на вычеты в текущем периоде, либо посредством амортизационных отчислений в соответствии с положениями Приложения VI "Порядок бухгалтерского учета" и Раздела 19.3 (d) (VIII) Соглашения с момента вступления Соглашения в силу, также включаются в единую отдельную налоговую группу с нормой амортизации до 100 % с начала эксплуатации соответствующих активов и сооружений, в случае, если данные расходы не были отнесены на текущие вычеты в момент их понесения;</w:t>
      </w:r>
    </w:p>
    <w:bookmarkEnd w:id="8"/>
    <w:bookmarkStart w:name="z15" w:id="9"/>
    <w:p>
      <w:pPr>
        <w:spacing w:after="0"/>
        <w:ind w:left="0"/>
        <w:jc w:val="both"/>
      </w:pPr>
      <w:r>
        <w:rPr>
          <w:rFonts w:ascii="Times New Roman"/>
          <w:b w:val="false"/>
          <w:i w:val="false"/>
          <w:color w:val="000000"/>
          <w:sz w:val="28"/>
        </w:rPr>
        <w:t>
      12) расходы на обучение местного персонала, на развитие инфраструктуры, расходы на охрану окружающей среды, расходы на социальную сферу, расходы на производство и доставку электроэнергии в г. Аксай и окружающие населенные пункты, а также расходы на обеспечение производственной гигиены и охраны труда и все прочие расходы, установленные Соглашением, понесенные как внутри, так и за пределами Республики Казахстан, подлежат налоговому вычету, амортизации или начислению износа.</w:t>
      </w:r>
    </w:p>
    <w:bookmarkEnd w:id="9"/>
    <w:bookmarkStart w:name="z16" w:id="10"/>
    <w:p>
      <w:pPr>
        <w:spacing w:after="0"/>
        <w:ind w:left="0"/>
        <w:jc w:val="both"/>
      </w:pPr>
      <w:r>
        <w:rPr>
          <w:rFonts w:ascii="Times New Roman"/>
          <w:b w:val="false"/>
          <w:i w:val="false"/>
          <w:color w:val="000000"/>
          <w:sz w:val="28"/>
        </w:rPr>
        <w:t>
      Для целей настоящего подпункта расходы на охрану окружающей среды включают, в том числе:</w:t>
      </w:r>
    </w:p>
    <w:bookmarkEnd w:id="10"/>
    <w:bookmarkStart w:name="z17" w:id="11"/>
    <w:p>
      <w:pPr>
        <w:spacing w:after="0"/>
        <w:ind w:left="0"/>
        <w:jc w:val="both"/>
      </w:pPr>
      <w:r>
        <w:rPr>
          <w:rFonts w:ascii="Times New Roman"/>
          <w:b w:val="false"/>
          <w:i w:val="false"/>
          <w:color w:val="000000"/>
          <w:sz w:val="28"/>
        </w:rPr>
        <w:t>
      (i) расходы Подрядных компаний, понесенные в связи с расширением санитарно-защитной зоны Карачаганакского месторождения (включая расходы по переселению и обустройству жителей населенных пунктов, попавших в пределы границ вновь определенной/планируемой санитарно-защитной зоны, финансирование которых утверждено постановлением Правительства Республики Казахстан от 28 июля 2015 года № 595 "О финансировании переселения жителей населенных пунктов, находящихся в расчетной санитарно-защитной зоне Карачаганакского нефтегазоконденсатного месторождения");</w:t>
      </w:r>
    </w:p>
    <w:bookmarkEnd w:id="11"/>
    <w:bookmarkStart w:name="z18" w:id="12"/>
    <w:p>
      <w:pPr>
        <w:spacing w:after="0"/>
        <w:ind w:left="0"/>
        <w:jc w:val="both"/>
      </w:pPr>
      <w:r>
        <w:rPr>
          <w:rFonts w:ascii="Times New Roman"/>
          <w:b w:val="false"/>
          <w:i w:val="false"/>
          <w:color w:val="000000"/>
          <w:sz w:val="28"/>
        </w:rPr>
        <w:t>
      (ii) расходы, относящиеся к работам, выполняемым Подрядчиком в связи с Программой исследования и мониторинга ХКШ, производимые в соответствии с Разделом 17 Соглашения;";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"14) стоимость переданной или уплаченной Доли Республики Казахстан в прибыльном нефтегазовом сырье не является вычетом при определении налогооблагаемого дохода для подоходного налога с юридических лиц.</w:t>
      </w:r>
    </w:p>
    <w:bookmarkEnd w:id="13"/>
    <w:bookmarkStart w:name="z21" w:id="14"/>
    <w:p>
      <w:pPr>
        <w:spacing w:after="0"/>
        <w:ind w:left="0"/>
        <w:jc w:val="both"/>
      </w:pPr>
      <w:r>
        <w:rPr>
          <w:rFonts w:ascii="Times New Roman"/>
          <w:b w:val="false"/>
          <w:i w:val="false"/>
          <w:color w:val="000000"/>
          <w:sz w:val="28"/>
        </w:rPr>
        <w:t>
      В соответствии со Статьей 9 Соглашения все затраты, связанные с совместной реализацией Нефтегазового сырья, должны распределяться между Подрядчиком и Республикой на пропорциональной основе с момента вступления в силу Соглашения.</w:t>
      </w:r>
    </w:p>
    <w:bookmarkEnd w:id="14"/>
    <w:bookmarkStart w:name="z22" w:id="15"/>
    <w:p>
      <w:pPr>
        <w:spacing w:after="0"/>
        <w:ind w:left="0"/>
        <w:jc w:val="both"/>
      </w:pPr>
      <w:r>
        <w:rPr>
          <w:rFonts w:ascii="Times New Roman"/>
          <w:b w:val="false"/>
          <w:i w:val="false"/>
          <w:color w:val="000000"/>
          <w:sz w:val="28"/>
        </w:rPr>
        <w:t>
      Все расходы, понесенные Подрядчиком в соответствии с Соглашением, включая платежи Подрядчика в Дорожный фонд, за исключением затрат, связанных с совместной реализацией Нефтегазового сырья, не распределяются между Подрядчиком и Республикой и подлежат отнесению на вычеты в полном объеме с учетом положений статьи 14 Налогового кодекса и настоящей Инструкции. При этом невключение стоимости углеводородов, которые являются долей Республики Казахстан в Прибыльном нефтегазовом сырье, в совокупный годовой доход Подрядчика в соответствии с положениями пункта 46 настоящей Инструкции не влияет на определение таких вычетов.</w:t>
      </w:r>
    </w:p>
    <w:bookmarkEnd w:id="15"/>
    <w:bookmarkStart w:name="z23" w:id="16"/>
    <w:p>
      <w:pPr>
        <w:spacing w:after="0"/>
        <w:ind w:left="0"/>
        <w:jc w:val="both"/>
      </w:pPr>
      <w:r>
        <w:rPr>
          <w:rFonts w:ascii="Times New Roman"/>
          <w:b w:val="false"/>
          <w:i w:val="false"/>
          <w:color w:val="000000"/>
          <w:sz w:val="28"/>
        </w:rPr>
        <w:t>
      Пример 10-1.</w:t>
      </w:r>
    </w:p>
    <w:bookmarkEnd w:id="16"/>
    <w:bookmarkStart w:name="z24" w:id="17"/>
    <w:p>
      <w:pPr>
        <w:spacing w:after="0"/>
        <w:ind w:left="0"/>
        <w:jc w:val="both"/>
      </w:pPr>
      <w:r>
        <w:rPr>
          <w:rFonts w:ascii="Times New Roman"/>
          <w:b w:val="false"/>
          <w:i w:val="false"/>
          <w:color w:val="000000"/>
          <w:sz w:val="28"/>
        </w:rPr>
        <w:t>
      Расходы, понесенные по Соглашению за налоговый период (календарный год):</w:t>
      </w:r>
    </w:p>
    <w:bookmarkEnd w:id="17"/>
    <w:bookmarkStart w:name="z25" w:id="18"/>
    <w:p>
      <w:pPr>
        <w:spacing w:after="0"/>
        <w:ind w:left="0"/>
        <w:jc w:val="both"/>
      </w:pPr>
      <w:r>
        <w:rPr>
          <w:rFonts w:ascii="Times New Roman"/>
          <w:b w:val="false"/>
          <w:i w:val="false"/>
          <w:color w:val="000000"/>
          <w:sz w:val="28"/>
        </w:rPr>
        <w:t>
      (i) расходы, связанные с совместной реализацией Нефтегазового сырья, относящиеся к Республике Казахстан, – $2 000 000 США (распределено пропорционально);</w:t>
      </w:r>
    </w:p>
    <w:bookmarkEnd w:id="18"/>
    <w:bookmarkStart w:name="z26" w:id="19"/>
    <w:p>
      <w:pPr>
        <w:spacing w:after="0"/>
        <w:ind w:left="0"/>
        <w:jc w:val="both"/>
      </w:pPr>
      <w:r>
        <w:rPr>
          <w:rFonts w:ascii="Times New Roman"/>
          <w:b w:val="false"/>
          <w:i w:val="false"/>
          <w:color w:val="000000"/>
          <w:sz w:val="28"/>
        </w:rPr>
        <w:t>
      (ii) расходы, связанные с совместной реализацией Нефтегазового сырья, относящиеся к Подрядчику, – $8 000 000 США (распределено пропорционально);</w:t>
      </w:r>
    </w:p>
    <w:bookmarkEnd w:id="19"/>
    <w:bookmarkStart w:name="z27" w:id="20"/>
    <w:p>
      <w:pPr>
        <w:spacing w:after="0"/>
        <w:ind w:left="0"/>
        <w:jc w:val="both"/>
      </w:pPr>
      <w:r>
        <w:rPr>
          <w:rFonts w:ascii="Times New Roman"/>
          <w:b w:val="false"/>
          <w:i w:val="false"/>
          <w:color w:val="000000"/>
          <w:sz w:val="28"/>
        </w:rPr>
        <w:t>
      (iii) платежи в дорожный фонд – $1 000 000 США;</w:t>
      </w:r>
    </w:p>
    <w:bookmarkEnd w:id="20"/>
    <w:bookmarkStart w:name="z28" w:id="21"/>
    <w:p>
      <w:pPr>
        <w:spacing w:after="0"/>
        <w:ind w:left="0"/>
        <w:jc w:val="both"/>
      </w:pPr>
      <w:r>
        <w:rPr>
          <w:rFonts w:ascii="Times New Roman"/>
          <w:b w:val="false"/>
          <w:i w:val="false"/>
          <w:color w:val="000000"/>
          <w:sz w:val="28"/>
        </w:rPr>
        <w:t>
      (iv) все иные расходы – $30 000 000 США.</w:t>
      </w:r>
    </w:p>
    <w:bookmarkEnd w:id="21"/>
    <w:bookmarkStart w:name="z29" w:id="22"/>
    <w:p>
      <w:pPr>
        <w:spacing w:after="0"/>
        <w:ind w:left="0"/>
        <w:jc w:val="both"/>
      </w:pPr>
      <w:r>
        <w:rPr>
          <w:rFonts w:ascii="Times New Roman"/>
          <w:b w:val="false"/>
          <w:i w:val="false"/>
          <w:color w:val="000000"/>
          <w:sz w:val="28"/>
        </w:rPr>
        <w:t>
      Расходы Подрядчика, подлежащие вычету для целей подоходного налога с юридических лиц за налоговый период (календарный год):</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понесено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 США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совместной реализацией Нефтегазового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расходы распределяются между Подрядчиком и Республикой на пропорциональной основе и подлежат отнесению на вычеты согласно рассчитанной доле у Подрядчика в размере 8000 тыс. долларов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 дорожный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Такие расходы не распределяются между Подрядчиком и Республикой и подлежат отнесению на вычеты в полном размере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иные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Такие расходы не распределяются между Подрядчиком и Республикой и подлежат отнесению на вычеты в полном размере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3"/>
    <w:p>
      <w:pPr>
        <w:spacing w:after="0"/>
        <w:ind w:left="0"/>
        <w:jc w:val="both"/>
      </w:pPr>
      <w:r>
        <w:rPr>
          <w:rFonts w:ascii="Times New Roman"/>
          <w:b w:val="false"/>
          <w:i w:val="false"/>
          <w:color w:val="000000"/>
          <w:sz w:val="28"/>
        </w:rPr>
        <w:t>
      ".</w:t>
      </w:r>
    </w:p>
    <w:bookmarkEnd w:id="23"/>
    <w:bookmarkStart w:name="z31" w:id="24"/>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