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bc47" w14:textId="479b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979. Утратило силу постановлением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механизме кредитования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финансового лизинга приоритетных проектов,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Общий объем финансирования Национальным Банком Республики Казахстан банков второго уровня (далее – БВУ) и АО "Аграрная кредитная корпорация" (далее – АКК) в 2018 – 2022 годах для поддержки субъектов частного предпринимательства (далее – СЧП), осуществляющих деятельность в обрабатывающей промышленности и агропромышленном комплексе, составит до 1 трлн тенге.";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Целевые индикаторы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доли импорта по товарам экономики простых вещей на 20 % к 2023 году от уровня 2018 года;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 выпуска продукции экономики простых вещей на 20 % к 2023 году от уровня 2018 года.";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пункта 7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которые зарегистрированы в офшорных зонах,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(зарегистрировано в Реестре государственной регистрации нормативных правовых актов за № 20095), а также участники и (или) акционеры которых зарегистрированы в офшорных зонах;";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Условия гарантирования проектов СЧП: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Гарантированию подлежат кредиты БВУ/финансовый лизинг ЛК с номинальной ставкой вознаграждения, не превышающей 15 % годовых. Размер гарантии в рамках одного проекта заемщика не может превышать 50 % от суммы кредита/финансового лизинга до 1 млрд тенге включительно.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гарантии – не более срока кредита.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в обеспечении по кредиту (залоговая стоимость) покрывается предпринимателем.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финансовому лизингу СЧП обеспечивает участие собственными средствами (деньгами) в размере не менее 20 % от стоимости предмета лизинга.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финансовому лизингу допускается принятие в качестве дополнительного обеспечения недвижимого и/или движимого имущества, а также гарантий учредителей/участников/акционеров и/или третьих лиц.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гарантирование БРК проектов субъектов среднего и крупного предпринимательства на следующих условиях: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гарантии в рамках одного кредита заемщика – от 3,5 млрд тенге до 10 млрд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комиссии по гарантии БРК составляет не более 3,5 %;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гарантии – не более 10 лет.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порядок и механизм гарантирования, а также мониторинг реализуемых проектов в рамках настоящего механизма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 в рамках Государственной программы поддержки и развития бизнеса "Дорожная карта бизнеса-2025", утвержденными постановлением Правительства Республики Казахстан от 31 декабря 2019 года № 1060.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гарантирования, а также мониторинг реализуемых проектов по производству и переработке в агропромышленном комплексе регламентируются приказом уполномоченного государственного органа в области развития агропромышленного комплекса.";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