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8d4c" w14:textId="49a8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(таксономии) "зеленых" проектов, подлежащих финансированию через "зеленые" облигации и "зеленые" кредиты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2021 года № 996.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130 Экологического кодекса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08.04.2025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классификацию</w:t>
      </w:r>
      <w:r>
        <w:rPr>
          <w:rFonts w:ascii="Times New Roman"/>
          <w:b w:val="false"/>
          <w:i w:val="false"/>
          <w:color w:val="000000"/>
          <w:sz w:val="28"/>
        </w:rPr>
        <w:t xml:space="preserve"> (таксономию) "зеленых" проектов, подлежащих финансированию через "зеленые" облигации и "зеленые" кредиты.</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2021 года № 996</w:t>
            </w:r>
          </w:p>
        </w:tc>
      </w:tr>
    </w:tbl>
    <w:bookmarkStart w:name="z9" w:id="3"/>
    <w:p>
      <w:pPr>
        <w:spacing w:after="0"/>
        <w:ind w:left="0"/>
        <w:jc w:val="left"/>
      </w:pPr>
      <w:r>
        <w:rPr>
          <w:rFonts w:ascii="Times New Roman"/>
          <w:b/>
          <w:i w:val="false"/>
          <w:color w:val="000000"/>
        </w:rPr>
        <w:t xml:space="preserve"> Классификация (таксономия) "зеленых" проектов, подлежащих финансированию через "зеленые" облигации и "зеленые" кредиты</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Настоящая классификация (таксономия) "зеленых" проектов, подлежащих финансированию через "зеленые" облигации и "зеленые" кредиты (далее – таксономия),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130 Экологического кодекса Республики Казахстан (далее – Кодекс) и представляет собой систему классификации категорий "зеленых" проектов, подлежащих финансированию через "зеленые" облигации и "зеленые" кредиты (включая количественные и качественные пороговые значения) и направленных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приведенную в приложении к настоящей таксономии.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27.03.2024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Таксономия включает следующие разделы:</w:t>
      </w:r>
    </w:p>
    <w:bookmarkEnd w:id="6"/>
    <w:bookmarkStart w:name="z13" w:id="7"/>
    <w:p>
      <w:pPr>
        <w:spacing w:after="0"/>
        <w:ind w:left="0"/>
        <w:jc w:val="both"/>
      </w:pPr>
      <w:r>
        <w:rPr>
          <w:rFonts w:ascii="Times New Roman"/>
          <w:b w:val="false"/>
          <w:i w:val="false"/>
          <w:color w:val="000000"/>
          <w:sz w:val="28"/>
        </w:rPr>
        <w:t>
      1) уровень 1, предусматривающий основные категории таксономии;</w:t>
      </w:r>
    </w:p>
    <w:bookmarkEnd w:id="7"/>
    <w:bookmarkStart w:name="z14" w:id="8"/>
    <w:p>
      <w:pPr>
        <w:spacing w:after="0"/>
        <w:ind w:left="0"/>
        <w:jc w:val="both"/>
      </w:pPr>
      <w:r>
        <w:rPr>
          <w:rFonts w:ascii="Times New Roman"/>
          <w:b w:val="false"/>
          <w:i w:val="false"/>
          <w:color w:val="000000"/>
          <w:sz w:val="28"/>
        </w:rPr>
        <w:t>
      2) уровень 2, предусматривающий сектора "зеленых" проектов в рамках основных категорий;</w:t>
      </w:r>
    </w:p>
    <w:bookmarkEnd w:id="8"/>
    <w:bookmarkStart w:name="z15" w:id="9"/>
    <w:p>
      <w:pPr>
        <w:spacing w:after="0"/>
        <w:ind w:left="0"/>
        <w:jc w:val="both"/>
      </w:pPr>
      <w:r>
        <w:rPr>
          <w:rFonts w:ascii="Times New Roman"/>
          <w:b w:val="false"/>
          <w:i w:val="false"/>
          <w:color w:val="000000"/>
          <w:sz w:val="28"/>
        </w:rPr>
        <w:t>
      3) уровень 3, предусматривающий подсектора "зеленых" проектов в рамках секторов;</w:t>
      </w:r>
    </w:p>
    <w:bookmarkEnd w:id="9"/>
    <w:bookmarkStart w:name="z16" w:id="10"/>
    <w:p>
      <w:pPr>
        <w:spacing w:after="0"/>
        <w:ind w:left="0"/>
        <w:jc w:val="both"/>
      </w:pPr>
      <w:r>
        <w:rPr>
          <w:rFonts w:ascii="Times New Roman"/>
          <w:b w:val="false"/>
          <w:i w:val="false"/>
          <w:color w:val="000000"/>
          <w:sz w:val="28"/>
        </w:rPr>
        <w:t>
      4) код общего классификатора видов экономической деятельности (далее – ОКЭД): вид экономической деятельности, заявленный юридическими лицами, филиалами и представительствами (хозяйствующими субъектами) при регистрации;</w:t>
      </w:r>
    </w:p>
    <w:bookmarkEnd w:id="10"/>
    <w:bookmarkStart w:name="z17" w:id="11"/>
    <w:p>
      <w:pPr>
        <w:spacing w:after="0"/>
        <w:ind w:left="0"/>
        <w:jc w:val="both"/>
      </w:pPr>
      <w:r>
        <w:rPr>
          <w:rFonts w:ascii="Times New Roman"/>
          <w:b w:val="false"/>
          <w:i w:val="false"/>
          <w:color w:val="000000"/>
          <w:sz w:val="28"/>
        </w:rPr>
        <w:t>
      5) примеры проектов и технологий, подпадающих под категорию таксономии;</w:t>
      </w:r>
    </w:p>
    <w:bookmarkEnd w:id="11"/>
    <w:bookmarkStart w:name="z18" w:id="12"/>
    <w:p>
      <w:pPr>
        <w:spacing w:after="0"/>
        <w:ind w:left="0"/>
        <w:jc w:val="both"/>
      </w:pPr>
      <w:r>
        <w:rPr>
          <w:rFonts w:ascii="Times New Roman"/>
          <w:b w:val="false"/>
          <w:i w:val="false"/>
          <w:color w:val="000000"/>
          <w:sz w:val="28"/>
        </w:rPr>
        <w:t>
      6) пороговое значение (пороговый критерий, порог) – предельные значения количественных и качественных критериев видов экономической деятельности, активов и проектов, достижение которых необходимо для квалификации проектов в качестве "зеленых". Пороговый критерий может быть выражен в требовании сертификации/маркировки (подтверждения соответствия требованиям указанных в таксономии стандартов либо наличия маркировок в отношении отдельных подсекторов).</w:t>
      </w:r>
    </w:p>
    <w:bookmarkEnd w:id="12"/>
    <w:bookmarkStart w:name="z19" w:id="13"/>
    <w:p>
      <w:pPr>
        <w:spacing w:after="0"/>
        <w:ind w:left="0"/>
        <w:jc w:val="both"/>
      </w:pPr>
      <w:r>
        <w:rPr>
          <w:rFonts w:ascii="Times New Roman"/>
          <w:b w:val="false"/>
          <w:i w:val="false"/>
          <w:color w:val="000000"/>
          <w:sz w:val="28"/>
        </w:rPr>
        <w:t>
      3. Таксономия включает следующие категории:</w:t>
      </w:r>
    </w:p>
    <w:bookmarkEnd w:id="13"/>
    <w:bookmarkStart w:name="z69" w:id="14"/>
    <w:p>
      <w:pPr>
        <w:spacing w:after="0"/>
        <w:ind w:left="0"/>
        <w:jc w:val="both"/>
      </w:pPr>
      <w:r>
        <w:rPr>
          <w:rFonts w:ascii="Times New Roman"/>
          <w:b w:val="false"/>
          <w:i w:val="false"/>
          <w:color w:val="000000"/>
          <w:sz w:val="28"/>
        </w:rPr>
        <w:t>
      1) возобновляемую энергию (ветряная, солнечная, геотермальная, гидро-, биоэнергия, цепочка поставок и вспомогательная инфраструктура для возобновляемых источников энергии, производство водорода);</w:t>
      </w:r>
    </w:p>
    <w:bookmarkEnd w:id="14"/>
    <w:bookmarkStart w:name="z70" w:id="15"/>
    <w:p>
      <w:pPr>
        <w:spacing w:after="0"/>
        <w:ind w:left="0"/>
        <w:jc w:val="both"/>
      </w:pPr>
      <w:r>
        <w:rPr>
          <w:rFonts w:ascii="Times New Roman"/>
          <w:b w:val="false"/>
          <w:i w:val="false"/>
          <w:color w:val="000000"/>
          <w:sz w:val="28"/>
        </w:rPr>
        <w:t>
      2) энергоэффективность (повышение энергоэффективности на существующих и строящихся промышленных объектах и в агропромышленном секторе, повышение энергоэффективности в бюджетном и коммунальном секторах, энергоэффективные здания, строения и сооружения);</w:t>
      </w:r>
    </w:p>
    <w:bookmarkEnd w:id="15"/>
    <w:bookmarkStart w:name="z71" w:id="16"/>
    <w:p>
      <w:pPr>
        <w:spacing w:after="0"/>
        <w:ind w:left="0"/>
        <w:jc w:val="both"/>
      </w:pPr>
      <w:r>
        <w:rPr>
          <w:rFonts w:ascii="Times New Roman"/>
          <w:b w:val="false"/>
          <w:i w:val="false"/>
          <w:color w:val="000000"/>
          <w:sz w:val="28"/>
        </w:rPr>
        <w:t>
      3) "зеленые" здания ("зеленые" здания, сопутствующие системы и строительные материалы, "зеленая" инфраструктура);</w:t>
      </w:r>
    </w:p>
    <w:bookmarkEnd w:id="16"/>
    <w:bookmarkStart w:name="z72" w:id="17"/>
    <w:p>
      <w:pPr>
        <w:spacing w:after="0"/>
        <w:ind w:left="0"/>
        <w:jc w:val="both"/>
      </w:pPr>
      <w:r>
        <w:rPr>
          <w:rFonts w:ascii="Times New Roman"/>
          <w:b w:val="false"/>
          <w:i w:val="false"/>
          <w:color w:val="000000"/>
          <w:sz w:val="28"/>
        </w:rPr>
        <w:t>
      4) предотвращение и контроль загрязнения (качество воздуха, почвы);</w:t>
      </w:r>
    </w:p>
    <w:bookmarkEnd w:id="17"/>
    <w:bookmarkStart w:name="z73" w:id="18"/>
    <w:p>
      <w:pPr>
        <w:spacing w:after="0"/>
        <w:ind w:left="0"/>
        <w:jc w:val="both"/>
      </w:pPr>
      <w:r>
        <w:rPr>
          <w:rFonts w:ascii="Times New Roman"/>
          <w:b w:val="false"/>
          <w:i w:val="false"/>
          <w:color w:val="000000"/>
          <w:sz w:val="28"/>
        </w:rPr>
        <w:t>
      5) устойчивое использование воды, отходов (устойчивое использование воды и водосбережение, отходы и сточные воды, сохранение и восстановление ресурсов);</w:t>
      </w:r>
    </w:p>
    <w:bookmarkEnd w:id="18"/>
    <w:bookmarkStart w:name="z74" w:id="19"/>
    <w:p>
      <w:pPr>
        <w:spacing w:after="0"/>
        <w:ind w:left="0"/>
        <w:jc w:val="both"/>
      </w:pPr>
      <w:r>
        <w:rPr>
          <w:rFonts w:ascii="Times New Roman"/>
          <w:b w:val="false"/>
          <w:i w:val="false"/>
          <w:color w:val="000000"/>
          <w:sz w:val="28"/>
        </w:rPr>
        <w:t>
      6) устойчивое сельское хозяйство, землепользование, лесное хозяйство, сохранение биоразнообразия и экологический туризм (устойчивое сельское хозяйство, устойчивое управление лесами и сохранение биоразнообразия и экосистем, устойчивый туризм);</w:t>
      </w:r>
    </w:p>
    <w:bookmarkEnd w:id="19"/>
    <w:bookmarkStart w:name="z75" w:id="20"/>
    <w:p>
      <w:pPr>
        <w:spacing w:after="0"/>
        <w:ind w:left="0"/>
        <w:jc w:val="both"/>
      </w:pPr>
      <w:r>
        <w:rPr>
          <w:rFonts w:ascii="Times New Roman"/>
          <w:b w:val="false"/>
          <w:i w:val="false"/>
          <w:color w:val="000000"/>
          <w:sz w:val="28"/>
        </w:rPr>
        <w:t>
      7) чистый транспорт (низкоуглеродные транспортные средства, низкоуглеродные грузоперевозки, чистая транспортная инфраструктура, чистые транспортные информационные и коммуникационные технологии);</w:t>
      </w:r>
    </w:p>
    <w:bookmarkEnd w:id="20"/>
    <w:bookmarkStart w:name="z76" w:id="21"/>
    <w:p>
      <w:pPr>
        <w:spacing w:after="0"/>
        <w:ind w:left="0"/>
        <w:jc w:val="both"/>
      </w:pPr>
      <w:r>
        <w:rPr>
          <w:rFonts w:ascii="Times New Roman"/>
          <w:b w:val="false"/>
          <w:i w:val="false"/>
          <w:color w:val="000000"/>
          <w:sz w:val="28"/>
        </w:rPr>
        <w:t>
      8) переходную энергетику (производство электроэнергии и тепла из газообразного ископаемого топлива, замена топлива, производство оборудования для атомной энергетики, строительство и эксплуатация атомных электростанций).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27.03.2024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Коды согласно ОКЭД приведены с целью упрощения использования таксономии производителями товаров, работ и услуг и организациями, деятельность которых предусматривает учет классификации экономической деятельности, в том числе в целях добровольного раскрытия компаниями информации о доле соответствующего таксономии оборота от экономической деятельности. При этом приводимые коды ОКЭД не являются самостоятельным критерием отнесения проектов к категории "зеленых" проектов.</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классификации (таксономии)</w:t>
            </w:r>
            <w:r>
              <w:br/>
            </w:r>
            <w:r>
              <w:rPr>
                <w:rFonts w:ascii="Times New Roman"/>
                <w:b w:val="false"/>
                <w:i w:val="false"/>
                <w:color w:val="000000"/>
                <w:sz w:val="20"/>
              </w:rPr>
              <w:t>"зеленых" проектов,</w:t>
            </w:r>
            <w:r>
              <w:br/>
            </w:r>
            <w:r>
              <w:rPr>
                <w:rFonts w:ascii="Times New Roman"/>
                <w:b w:val="false"/>
                <w:i w:val="false"/>
                <w:color w:val="000000"/>
                <w:sz w:val="20"/>
              </w:rPr>
              <w:t>подлежащих финансированию</w:t>
            </w:r>
            <w:r>
              <w:br/>
            </w:r>
            <w:r>
              <w:rPr>
                <w:rFonts w:ascii="Times New Roman"/>
                <w:b w:val="false"/>
                <w:i w:val="false"/>
                <w:color w:val="000000"/>
                <w:sz w:val="20"/>
              </w:rPr>
              <w:t>через "зеленые" облигации и</w:t>
            </w:r>
            <w:r>
              <w:br/>
            </w:r>
            <w:r>
              <w:rPr>
                <w:rFonts w:ascii="Times New Roman"/>
                <w:b w:val="false"/>
                <w:i w:val="false"/>
                <w:color w:val="000000"/>
                <w:sz w:val="20"/>
              </w:rPr>
              <w:t>"зеленые" кредиты</w:t>
            </w:r>
          </w:p>
        </w:tc>
      </w:tr>
    </w:tbl>
    <w:bookmarkStart w:name="z29" w:id="23"/>
    <w:p>
      <w:pPr>
        <w:spacing w:after="0"/>
        <w:ind w:left="0"/>
        <w:jc w:val="left"/>
      </w:pPr>
      <w:r>
        <w:rPr>
          <w:rFonts w:ascii="Times New Roman"/>
          <w:b/>
          <w:i w:val="false"/>
          <w:color w:val="000000"/>
        </w:rPr>
        <w:t xml:space="preserve"> Система классификации категорий "зеленых" проектов, подлежащих финансированию через "зеленые" облигации и "зеленые" кредиты</w:t>
      </w:r>
    </w:p>
    <w:bookmarkEnd w:id="23"/>
    <w:p>
      <w:pPr>
        <w:spacing w:after="0"/>
        <w:ind w:left="0"/>
        <w:jc w:val="both"/>
      </w:pPr>
      <w:r>
        <w:rPr>
          <w:rFonts w:ascii="Times New Roman"/>
          <w:b w:val="false"/>
          <w:i w:val="false"/>
          <w:color w:val="ff0000"/>
          <w:sz w:val="28"/>
        </w:rPr>
        <w:t xml:space="preserve">
      Сноска. Приложение  – в редакции постановления Правительства РК от 27.03.2024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08.04.2025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 Подсектор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Возобновляемая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Ветряная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Энергетические объекты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ветрогенераторы, ветронасосы, ветряные турбины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Солнечная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Объекты производства электроэнергии (PV &amp; CSP)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централизованные и децентрализованные солнечные электростанции, в том числе концентрированные солнечные электростанции (CSP), солнечная фотоэлектрическая (PV) энергия, децентрализованная солнечная фотоэлектрическая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Небольшие распределенные солнечные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небольшие портативные солнечные домашние системы, мини-сети и другие типы автономных систем для питания небольших домохозяйств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Солнечные тепловые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применения и производства солнечной тепловой энергии, в том числе солнечного нагрева воды и других тепловых применений солнечной энергии во всех секторах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Геотермальная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Объекты производства электроэнергии и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28.92.1, 35.11.9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электроэнергии и теплового применения геотермальной энергии во всех секторах; геотермальные тепловые насосы для отопления помещений и централизованного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использования электрических тепловых насосов – потенциал глобального потепления хладагента не превышает значения 700, в остальных случаях –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Гидро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Малые гидроэлектростанции (до 10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с установками, расположенными в одном гидроузле, суммарной мощностью до десяти мегаватт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Средние гидроэлектростанции (до100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с общей установленной мощностью от 10 до 100 мегаватт (МВт), гидроэлектростанция с насосом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мощность (отношение номинальной мощности объекта к площади поверхности водохранилища)&gt;10 Bт/м2 либо выбросы CO2 в течение жизненного цикла не выше 100 g CO2 e/кВт ч. Также требуется заключение экологической экспертизы о допустимости реализации проекта либо заключение скрининга воздействий намечаемой деятельности об отсутствии необходимости проведения обязательной оценки воздействия на окружающую среду (ОВОС), либо заключение ОВОС о допустимости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Другие объекты по производству теплоэнергии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 использующие градиенты температуры почвы, воды и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использования электрических тепловых насосов – потенциал глобального потепления хладагента не превышает значения 700, в остальных случаях –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Биоэнергия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Объекты биоэнергетических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38.21.0, 72.11.0, 35.30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производства биотоплива, биомассы, биогаза и других биоэнергетических продуктов, включая установки для подготовки топлива, установки для предварительной обработки и установки для биопереработки, установки для производства газообразного, жидкого и твердого (лесного) биотоплива (включая установки для анаэробного сбраживания). Оборудование для переработки осадков после очистки сточных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4"/>
          <w:p>
            <w:pPr>
              <w:spacing w:after="20"/>
              <w:ind w:left="20"/>
              <w:jc w:val="both"/>
            </w:pPr>
            <w:r>
              <w:rPr>
                <w:rFonts w:ascii="Times New Roman"/>
                <w:b w:val="false"/>
                <w:i w:val="false"/>
                <w:color w:val="000000"/>
                <w:sz w:val="20"/>
              </w:rPr>
              <w:t>
1) выбросы парниковых газов в течение жизненного цикла на 70 % ниже базового уровня угля (т.е. выбросов угольной электрогенерации или уровня международно признанного компаратора (сравнительного бенчмарка) ископаемого топлива);</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биомасса должна быть получена из сырья, образованного экологически устойчивыми методами (древесина может быть представлена только отходами древесины; исключается сырье, полученное за счет земель с высоким уровнем биоразнообразия и (или) высоким запасом углерода, имеется оценка воздействия на качество почвы и запасы углерода, высокая (свыше 50 %) минимальная доля отходов и др.);</w:t>
            </w:r>
          </w:p>
          <w:p>
            <w:pPr>
              <w:spacing w:after="20"/>
              <w:ind w:left="20"/>
              <w:jc w:val="both"/>
            </w:pPr>
            <w:r>
              <w:rPr>
                <w:rFonts w:ascii="Times New Roman"/>
                <w:b w:val="false"/>
                <w:i w:val="false"/>
                <w:color w:val="000000"/>
                <w:sz w:val="20"/>
              </w:rPr>
              <w:t>
3) для крупных установок – соответствие требованиям справочника НДТ (BREF**) для крупных топливосжигающих установок, применительно к сжиганию твердой биомассы и (или) торфа в части управления отходами, использования материалов, выполнения порогов по выбросам SO2, NOx и CO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Производство тепла и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тепла и электричества; системы отопления; электростанции на биомассе, биогазе; теплоэлектроцентрали на биомассе; улучшенные печи для биомассы; использование сельскохозяйственных и лесных отходов, а также отходов сельскохозяйственных культур для электрификации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выбросы парниковых газов в течение жизненного цикла на 70 % ниже базового уровня угля (т.е. выбросов угольной электрогенерации или уровня международно признанного компаратора (сравнительного бенчмарка) ископаемого топлива);</w:t>
            </w:r>
          </w:p>
          <w:p>
            <w:pPr>
              <w:spacing w:after="20"/>
              <w:ind w:left="20"/>
              <w:jc w:val="both"/>
            </w:pPr>
            <w:r>
              <w:rPr>
                <w:rFonts w:ascii="Times New Roman"/>
                <w:b w:val="false"/>
                <w:i w:val="false"/>
                <w:color w:val="000000"/>
                <w:sz w:val="20"/>
              </w:rPr>
              <w:t>
2) биомасса должна быть получена из сырья, образованного экологически устойчивыми методами (древесина может быть представлена только отходами древесины; исключается сырье, полученное за счет земель с высоким уровнем биоразнообразия и (или) высоким запасом углерода, имеется оценка воздействия на качество почвы и запасы углерода, высокая (свыше 50 %) минимальная доля отходов и др.);</w:t>
            </w:r>
          </w:p>
          <w:p>
            <w:pPr>
              <w:spacing w:after="20"/>
              <w:ind w:left="20"/>
              <w:jc w:val="both"/>
            </w:pPr>
            <w:r>
              <w:rPr>
                <w:rFonts w:ascii="Times New Roman"/>
                <w:b w:val="false"/>
                <w:i w:val="false"/>
                <w:color w:val="000000"/>
                <w:sz w:val="20"/>
              </w:rPr>
              <w:t>
3) для крупных установок – соответствие требованиям справочника НДТ (BREF**) для крупных топливосжигающих установок, применительно к сжиганию твердой биомассы и (или) торфа в части управления отходами, использования материалов, выполнения порогов по выбросам SO2, NOx и CO</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Цепочка поставок и вспомогательная инфраструктура для возобновляемых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Производство оборудования для возобновляемых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28.11.2, 28.12.0, 28.13.1, 28.13.2, 28.14.0, 25, 27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заводы по производству или сборке ветряных, гидро- и геотермальных турбин, фотоэлектрических элементов и компонентов, солнечных коллекторов (т.н. тарелок или блюд), желобов и компонентов, геотермальных насосов.</w:t>
            </w:r>
          </w:p>
          <w:bookmarkEnd w:id="25"/>
          <w:p>
            <w:pPr>
              <w:spacing w:after="20"/>
              <w:ind w:left="20"/>
              <w:jc w:val="both"/>
            </w:pPr>
            <w:r>
              <w:rPr>
                <w:rFonts w:ascii="Times New Roman"/>
                <w:b w:val="false"/>
                <w:i w:val="false"/>
                <w:color w:val="000000"/>
                <w:sz w:val="20"/>
              </w:rPr>
              <w:t>
Производство продуктов, ключевых компонентов, оборудования и автоматизированной техники для следующего применения возобновляемой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геотермальная энергия;</w:t>
            </w:r>
          </w:p>
          <w:p>
            <w:pPr>
              <w:spacing w:after="20"/>
              <w:ind w:left="20"/>
              <w:jc w:val="both"/>
            </w:pPr>
            <w:r>
              <w:rPr>
                <w:rFonts w:ascii="Times New Roman"/>
                <w:b w:val="false"/>
                <w:i w:val="false"/>
                <w:color w:val="000000"/>
                <w:sz w:val="20"/>
              </w:rPr>
              <w:t>
гидроэнергия солнечная, концентрированная энергия (CSP), солнечная фотоэлектрическая энергия (PV) , энергия ветра, "зелҰный" водород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Линии электропередачи и поддерживающая инфраструктура для систем возобновляемой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26.11.0, 27.11.0, 27.12.0, 27.20.0, 33.14.1, 35.13.0, 42.22.0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расширенные и улучшенные системы передачи (линии, подстанции), системы хранения (аккумуляторные, механические, гидроаккумулирующие) и новые информационные и коммуникационные технологии (интеллектуальная сеть и мини-сеть) для масштабирования использования возобновляемых источников энергии; выделенные линии электропередачи; крупные и мелкие хранилища; интеллектуальные электросети; счетчики и датчики тепла и электричества; инверторы/контроллеры; трансформаторы; регуляторы напряжения; распределительные устройства; пути для транспортировки экологически чистых технологий; системы хранения "зелҰного" водорода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Системы хранения возобновляемой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конденсаторы, хранилище сжатого воздуха и маховики; крупномасштабное хранение энергии, а также производственные мощности, предназначенные для вышеперечисленного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Производство водорода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Производство "зелҰного" водорода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20.11.0, 25, 27, 28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 производству водорода с использованием возобновляемой энергии ("зелҰный" водород)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прямые выбросы эквивалента CO2 при производстве водорода в течение жизненного цикла составляют 3 тонны CO2 е/тонну водорода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Энергоэффективность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Повышение энергоэффективности на существующих и строящихся промышленных объектах и в агропромышленном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Энергоэффективное оборудование и совершенствование технологий, включая изменение технологических процессов, снижающее выбросы парниковых газов и (или) обеспечивающее оптимизацию потребления ТЭР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22, 23, 25, 27, 28, 33, 35, 43.22.0, 46.61-46.64, 46.66, 46.69, 71, 77.39, 95.21, 95.22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повышение энергоэффективности в промышленности за счет установки более эффективного оборудования, изменений в процессах и управлении, снижения тепловых потерь и (или) использования остаточного тепла и давления; установка машин, оборудования, приборов, снижающих выбросы парниковых газов и (или) обеспечивающих оптимизацию потребления ТЭР;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меры по повышению энергоэффективности, основанные на заключении энергетического аудита;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энергоэффективные двигатели, частотно-регулируемые приводы (VFD drives) для компрессоров, насосов и систем вентиляции. Котлы с высокой энергоэффективностью.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 утилизации отходящего тепла и газов технологических процессов (котлы-утилизаторы и др.) в промышленности и коммунальных системах.</w:t>
            </w:r>
          </w:p>
          <w:p>
            <w:pPr>
              <w:spacing w:after="20"/>
              <w:ind w:left="20"/>
              <w:jc w:val="both"/>
            </w:pPr>
            <w:r>
              <w:rPr>
                <w:rFonts w:ascii="Times New Roman"/>
                <w:b w:val="false"/>
                <w:i w:val="false"/>
                <w:color w:val="000000"/>
                <w:sz w:val="20"/>
              </w:rPr>
              <w:t>
Установка энергоэффективных машин и оборудования в сельскохозяйственном секторе. Список возможного подходящего оборудования можно также найти на онлайн-платформе "Селектора зеленых технологий" в рамках механизма финансирования "зеленой" экономики ЕБРР (GEFF)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энергопотребления на 10 % и (или) минимальное снижение выбросов парниковых газов и (или) обеспечивающее оптимизацию потребления ТЭР на 20 % по сравнению с базовым уровнем (до реализации проекта) исключаются установки, использующие уголь в качестве топлива. Применительно к утилизации отходящего тепла и газов технологических процессов насосы и оборудование (котлы-утилизаторы и т.п.) имеют наивысший класс энергоэффективности, а также соответствуют НДТ, при этом исключается утилизация газов и тепла от генерации на основе угля, а в случае генерации на природном газе должны также соблюдаться критерии, установленные в категории 8 по подсектору 8.1.1 "Производство электроэнергии и тепла из газообразного ископаемого топлива, замена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Установка оборудования теплоэлектроцентрали /когенерационные или тригенерационные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35.11.1, 35.30.5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эксплуатация когенерационных и комбинированного цикла установок, вырабатывающих электричество в дополнение к отоплению; теплоэлектроцентрали; электростанции комбинированного цикла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энергопотребления на 10 % и (или) минимальное снижение выбросов парниковых газов на 20 %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Энергоэффективность в системах производства, передачи и распределения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27.11.0, 35.12, 42.22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линий электропередачи или строительство новых подстанций и (или) распределительных систем для снижения энергопотребления и (или) технических потерь, включая повышение стабильности/надежности сети; умные сети; высоковольтные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потерь электроэнергии на 10 %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Центральное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25.21.0, 33.11.2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 централизованного теплоснабжения с использованием станций малой (распределенной) генерации или других технологий. Станция малой (распределенной) генерации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энергопотребления на 20 %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Повышение энергоэффективности в бюджетном и коммунальном секторах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Энергосберегающее освещение или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энергоэффективности в коммунальных и государственных услугах за счет установки более эффективного освещения или оборудования; система светодиодного уличного освещения, улучшение освещения коммерческих, торговых, оптовых, офисных зданий и других непромышленных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энергозатрат на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Энергоэффективные продукты (конечный пользователь)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25.21, 25.29, 27.51, 27.90, 28.13, 28.14, 33.20, 46.43, 46.61, 46.62, 46.63, 46.64, 46.69, 47.54, 77.31, 77.32, 77.33, 77.34, 77.35, 77.39</w:t>
            </w:r>
          </w:p>
          <w:bookmarkEnd w:id="27"/>
          <w:p>
            <w:pPr>
              <w:spacing w:after="20"/>
              <w:ind w:left="20"/>
              <w:jc w:val="both"/>
            </w:pPr>
            <w:r>
              <w:rPr>
                <w:rFonts w:ascii="Times New Roman"/>
                <w:b w:val="false"/>
                <w:i w:val="false"/>
                <w:color w:val="000000"/>
                <w:sz w:val="20"/>
              </w:rPr>
              <w:t>
(для производителей), любой код ОКЭД (для покупателей юр.лиц), для физ. лиц (коды ОКЭД неприменимы)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либо покупка и применение более энергоэффективных продуктов, включая энергоэффективные машины и оборудование; энергосберегающие холодильники, кондиционеры, стиральные машины, обогреватели и прочие электрические энергопотребляющие устройства (в соответствии с повышенным классом маркировки продукции). Список возможного подходящего оборудования можно найти на онлайн-платформе "Селектора зеленых технологий" в рамках механизма финансирования "зеленой" экономики ЕБРР (GEFF)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наивысший класс энергоэффективности для типа продукта, в том числе в соответствии с энергетической маркировкой в соответствии с национальными или межгосударственными стандартами, а также международной рейтинговой оценкой энергоэффективности потребительских товаров Energy Star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Услуги по энергосбережению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33.12, 33.14, 33.15, 33.16, 33.17, 33.19, 33.20, 35.12, 35.13, 35.30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энергосбережению для конечных потребителей энергии, в том числе промышленных объектов, зданий и транспортных систем, включая энергоаудит, оказание энергосервисных услуг, управление энергопотреблением (энергоменеджмент) по контракту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СТ РК ISO 50001-2019 "Системы энергетического менеджмента. Требования и руководство по использованию" или международно признанными аналогичными стандартами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Энергоэффективные здания, строения и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Энергоэффективное строительство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16.23, 23.11, 23.20, 23.31, 23.32, 23.43, 23.61, 25.11, 25.12, 25.21, 25.29, 25.93, 27.31, 27.32, 27.33, 27.40, 27.51, 28.11, 28.12, 28.13, 28.14, 33.20.0, 41.10.0, 41.20.1, 41.20.2, 41.20.3, 41.20.4, 43.22, 43.29.8, 43.32, 46.43, 46.74, 47.54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использование энергоэффективных архитектурных проектов, приборов и оборудования, а также строительных технологий, снижающих потребление энергии в зданиях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рейтинговых оценок в области "зеленого" строительства: LEED, EDGE, BREEAM, DGNB, OMIR и (или) маркировки энергоэффективности (высокого класса энергоэффективности)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Повышение эффективности в существующих коммерческих, общественных, жилых и промышленных зданиях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16.23, 23.11, 23.20, 23.31, 23.32, 23.43, 23.61, 25.11, 25.12, 25.21, 25.29, 25.93, 27.31, 27.32, 27.33, 27.40, 27.51, 28.11, 28.12, 28.13, 28.14, 33.20.0, 36.00.0, 37.00, 41.10.0, 41.20.1, 41.20.2, 41.20.3, 41.20, 42.21, 42.91, 42.99, 43.22, 43.29.8, 43.32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энергетика: освещение, приборы и оборудование, системы отопления/охлаждения, архитектурные изменения или изменения в строительстве, позволяющие снизить потребление энергии;</w:t>
            </w:r>
          </w:p>
          <w:bookmarkEnd w:id="28"/>
          <w:p>
            <w:pPr>
              <w:spacing w:after="20"/>
              <w:ind w:left="20"/>
              <w:jc w:val="both"/>
            </w:pPr>
            <w:r>
              <w:rPr>
                <w:rFonts w:ascii="Times New Roman"/>
                <w:b w:val="false"/>
                <w:i w:val="false"/>
                <w:color w:val="000000"/>
                <w:sz w:val="20"/>
              </w:rPr>
              <w:t>
вода: водопроводная арматура, системы рециркуляции/сбора дождевой воды, изменения в строительстве зданий, которые позволяют снизить потребление воды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"Зеленые"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"Зеленые"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Строительство новых "зеленых" зданий (коммерческих, общественных, промышленных и жилых)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16.23, 23.11, 23.20, 23.31, 23.32, 23.43, 23.61, 25.11, 25.12, 25.21, 25.29, 25.93, 27.31, 27.32, 27.33, 27.40, 27.51, 28.11, 28.12, 28.13, 28.14, 33.20.0, 36.00.0, 41.10.0, 41.20, 42.21, 42.91, 42.99, 43.22, 43.29.8, 43.31, 43.32, 43.34, 43.39, 43.91, 43.99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энергетика: использование высокоэффективных архитектурных проектов, энергоэффективных приборов и оборудования, а также методов строительства, которые снижают энергопотребление здания, превышая имеющиеся стандарты и соответствуя сертификатам или рейтингам высокой энергоэффективности;</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вода: использование водосберегающих приспособлений и оборудования, а также методов строительства, которые снижают потребление воды в зданиях, превышая имеющиеся стандарты и соответствуя сертификатам или рейтингам водосбережения;</w:t>
            </w:r>
          </w:p>
          <w:p>
            <w:pPr>
              <w:spacing w:after="20"/>
              <w:ind w:left="20"/>
              <w:jc w:val="both"/>
            </w:pPr>
            <w:r>
              <w:rPr>
                <w:rFonts w:ascii="Times New Roman"/>
                <w:b w:val="false"/>
                <w:i w:val="false"/>
                <w:color w:val="000000"/>
                <w:sz w:val="20"/>
              </w:rPr>
              <w:t>
материалы: использование строительного материала, который минимизирует количество компонентов, требующих большого количества энергии для производства стали или цемента, или компонентов, использующих повторно используемые/переработанные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рейтинговых оценок в области "зеленого" строительства: LEED, EDGE, BREEAM, DGNB, OMIR знаков энергетического рейтинга, таких как US Energy Star, и соответствия схеме энергетической маркировки, такой как Energy Performance Certifications, используемой в Европейском союзе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Сопутствующие системы и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Производство и применение систем, "зеленых" строительных материалов и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 23.31.0, 23.32.0, 23.65.0, 23.99.2, 23.99.3, 26.51, 27.11, 27.12, 27.31, 27.32, 27.33, 27.40, 27.51, 27.90, 28.11, 28.12, 28.13, 28.14, 33.20.0, 36.00, 37.00, 41.10.0, 41.20.1, 41.20.2, 41.20.3, 41.20.4, 42.21, 42.91, 42.99, 43.22, 43.29, 43.31, 43.32.0,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и низкоуглеродные строительные системы (освещение, отопление, кондиционирование воздуха, лифты, эскалаторы, счетчики, наземные тепловые насосы и т. д.) и материалы с низким энергопотреблением или низким углеродным следом; изоляционные материалы из органической ваты, материалы, произведенные из вторичного сырья 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(опционно):</w:t>
            </w:r>
          </w:p>
          <w:p>
            <w:pPr>
              <w:spacing w:after="20"/>
              <w:ind w:left="20"/>
              <w:jc w:val="both"/>
            </w:pPr>
            <w:r>
              <w:rPr>
                <w:rFonts w:ascii="Times New Roman"/>
                <w:b w:val="false"/>
                <w:i w:val="false"/>
                <w:color w:val="000000"/>
                <w:sz w:val="20"/>
              </w:rPr>
              <w:t>
1) рейтинговых оценок в области "зеленого" строительства: LEED, EDGE, BREEAM, DGNB, OMIR;</w:t>
            </w:r>
          </w:p>
          <w:p>
            <w:pPr>
              <w:spacing w:after="20"/>
              <w:ind w:left="20"/>
              <w:jc w:val="both"/>
            </w:pPr>
            <w:r>
              <w:rPr>
                <w:rFonts w:ascii="Times New Roman"/>
                <w:b w:val="false"/>
                <w:i w:val="false"/>
                <w:color w:val="000000"/>
                <w:sz w:val="20"/>
              </w:rPr>
              <w:t>
2) маркировки энергоэффективности (высокий класс энергоэффективности);</w:t>
            </w:r>
          </w:p>
          <w:p>
            <w:pPr>
              <w:spacing w:after="20"/>
              <w:ind w:left="20"/>
              <w:jc w:val="both"/>
            </w:pPr>
            <w:r>
              <w:rPr>
                <w:rFonts w:ascii="Times New Roman"/>
                <w:b w:val="false"/>
                <w:i w:val="false"/>
                <w:color w:val="000000"/>
                <w:sz w:val="20"/>
              </w:rPr>
              <w:t>
3) знаков энергетического рейтинга, таких как US Energy Star, или соответствия схеме энергетической маркировки, такой как Energy Performance Certifications, используемой в Европейском Союзе, или сертификации по серии стандартов Международной организации по стандартизации в области энергоэффективности зданий (СТ РК ISO 52003-1-2023 "Энергоэффективность зданий. Показатели, требования, рейтинги и сертификаты. Часть 1. Общие аспекты и применение к общей энергоэффективности", СТ РК ISO/TR 52003-2-2023 "Энергоэффективность зданий. Индикаторы, требования, рейтинги и сертификаты. Часть 2. Разъяснение и обоснование ISO 52003-1", СТ РК ISO 52010-1-2023 "Энергоэффективность зданий. Наружные климатические условия. Часть 1. Преобразование климатических данных для расчетов энергии", СТ РК ISO 52016-1-2023 "Энергоэффективность зданий. Энергопотребности для отопления и охлаждения, внутренние температуры и нагрузки по явному и скрытому теплу. Часть 1. Методики расчета", СТ РК ISO 52018-1-2023 "Энергоэффективность зданий. Индикаторы для частных требований энергоэффективности зданий, относящихся к тепловому балансу и характеристикам каркаса здания. Часть 1. Обзор вариантов");</w:t>
            </w:r>
          </w:p>
          <w:p>
            <w:pPr>
              <w:spacing w:after="0"/>
              <w:ind w:left="0"/>
              <w:jc w:val="both"/>
            </w:pPr>
            <w:r>
              <w:rPr>
                <w:rFonts w:ascii="Times New Roman"/>
                <w:b w:val="false"/>
                <w:i w:val="false"/>
                <w:color w:val="000000"/>
                <w:sz w:val="20"/>
              </w:rPr>
              <w:t>
4) сертификации по схемам сертификации отдельных строительных материалов (цемент, бетон, керамика, сталь и т.п.), таких как Concrete Sustainability Council (CSC) Certification либо верифицированной экологической декларации продукции (EPD), подготовленной в соответствии со стандартом СТ РК СТБ ISO 14025-2006 "Этикетки и декларации экологические. Экологические декларации типа III. Принципы и процедуры", в котором демонстрируется более низкий уровень негативного экологического следа продукции.</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"Зеленая"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"Зеленая"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42.11.1, 42.99, 43.21, 52.21, 81.30.0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многоцелевые "зеленые" зоны (задержка воды, затенение, отдых, коридоры биоразнообразия, мягкая подкладка для пешеходных и велосипедных дорожек);</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наводнений (ограждения от перенапряжений, насосные станции, дамбы, ворота);</w:t>
            </w:r>
          </w:p>
          <w:p>
            <w:pPr>
              <w:spacing w:after="20"/>
              <w:ind w:left="20"/>
              <w:jc w:val="both"/>
            </w:pPr>
            <w:r>
              <w:rPr>
                <w:rFonts w:ascii="Times New Roman"/>
                <w:b w:val="false"/>
                <w:i w:val="false"/>
                <w:color w:val="000000"/>
                <w:sz w:val="20"/>
              </w:rPr>
              <w:t>
сооружения для сбора талой и дождевой воды; уличное освещение; благоустройство участков по сбору и сортировке отходов при зданиях.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рейтинговых оценок в области "зеленого" строительства: LEED, BREEAM, DGNB, OMIR и(или) маркировки энергоэффективности (высокого класса энергоэффективности)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Строительство и модернизация частных жилых домов и прилегающих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35.11.5, 35.22.0, 36.00.0, 37.00, 38.11.0, 38.21.0, 38.32.3, 41.20.1, 43.21.1, 43.21.9, 43.22.0, 43.29.1, 43.29.8, 43.31.0, 43.32.0, 43.33.0 43.34.0, 43.91.0, 43.99.9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строительство новых энергоэффективных и "зеленых" домов;</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модернизация существующих домов;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улучшение санитарных условий (септик, утилизация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подведение электричества;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альтернативных видов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тепловых насосов или подключение к центральному отоплению;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энергии, сбор дождевой воды;</w:t>
            </w:r>
          </w:p>
          <w:p>
            <w:pPr>
              <w:spacing w:after="20"/>
              <w:ind w:left="20"/>
              <w:jc w:val="both"/>
            </w:pPr>
            <w:r>
              <w:rPr>
                <w:rFonts w:ascii="Times New Roman"/>
                <w:b w:val="false"/>
                <w:i w:val="false"/>
                <w:color w:val="000000"/>
                <w:sz w:val="20"/>
              </w:rPr>
              <w:t>
переработка серой и черной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потребления воды не ниже 15 %; применение ВИЭ3; минимальное снижение потребления энергии не ниже 15 %; маркировка энергоэффективности (высокого класса энергоэффективности) (если применимо); или наличие следующих рейтинговых оценок в области "зеленого" строительства: LEED, EDGE, BREEAM, DGNB, OMIR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Автономные и экосанитарные туалеты для частных домов, туристических лагерей и малого бизнеса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37.00, 39.00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установка автономных и экосанитарных туалетов, которые способствуют снижению загрязнения почвы;</w:t>
            </w:r>
          </w:p>
          <w:bookmarkEnd w:id="32"/>
          <w:p>
            <w:pPr>
              <w:spacing w:after="20"/>
              <w:ind w:left="20"/>
              <w:jc w:val="both"/>
            </w:pPr>
            <w:r>
              <w:rPr>
                <w:rFonts w:ascii="Times New Roman"/>
                <w:b w:val="false"/>
                <w:i w:val="false"/>
                <w:color w:val="000000"/>
                <w:sz w:val="20"/>
              </w:rPr>
              <w:t>
биотуалеты, контейнерные туалеты, сухие туалеты, септические системы, мочеотводящий сухой туалет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утилизация отходов без нанесения ущерба экосистемам, повторное использование воды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Предотвращение и контроль загрязнения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Качество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Очистка воздуха от промышленных загрязнений и загрязнения городского атмосферного воздуха, оборудование для рециркуляции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28.11.2, 28.13.1, 28.13, 28.25, 33.12.2, 35.30, 43.22, 43.29.8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очистные сооружения от промышленного загрязнения воздуха и загрязнения городского атмосферного воздуха, выхлопных газов;</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сокращения промстоков;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рециркуляции воздуха;</w:t>
            </w:r>
          </w:p>
          <w:p>
            <w:pPr>
              <w:spacing w:after="20"/>
              <w:ind w:left="20"/>
              <w:jc w:val="both"/>
            </w:pPr>
            <w:r>
              <w:rPr>
                <w:rFonts w:ascii="Times New Roman"/>
                <w:b w:val="false"/>
                <w:i w:val="false"/>
                <w:color w:val="000000"/>
                <w:sz w:val="20"/>
              </w:rPr>
              <w:t>
обессеривание и денитрификация, использование фильтр-пакетов, горелок выхлопных газов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 находятся в пределах диапазонов уровня связанных выбросов – НДТ (BAT-AELs), установленных в справочниках НДТ (BREF), в том числе в рамках Директивы о промышленных выбросах (применительно к промышленным загрязнениям)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Производство и установка чистых отопительных приборов для домашних хозяйств и малого и среднего бизнеса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25.21, 25.30, 27.52.0, 28.21.1, 43.22, 46.74, 43.33.0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закупка и установка чистых отопительных приборов для снижения загрязнения воздуха; электрический радиатор (обогреватель воздуха), электрический картриджный обогреватель, ночной обогреватель, электрический пол с подогревом, теплые стены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выбросов парниковых газов на 20 %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Улавливание и хранение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35.11, 35.30, 39.00.0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продукты для улавливания и хранения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соответствие требованиям справочника НДТ "Улавливание углекислого газа после сжигания" (Post-combustion carbon dioxide capture: best available techniques)</w:t>
            </w:r>
          </w:p>
          <w:bookmarkEnd w:id="34"/>
          <w:p>
            <w:pPr>
              <w:spacing w:after="20"/>
              <w:ind w:left="20"/>
              <w:jc w:val="both"/>
            </w:pPr>
            <w:r>
              <w:rPr>
                <w:rFonts w:ascii="Times New Roman"/>
                <w:b w:val="false"/>
                <w:i w:val="false"/>
                <w:color w:val="000000"/>
                <w:sz w:val="20"/>
              </w:rPr>
              <w:t>
или справочника НДТ (BREF) по эмиссиям при хранении в рамках комплексного предотвращения и контроля загрязнения в части управления отходами и использования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Почва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Cнижение загрязнения почвы; оборудование и инфраструктура для ее восстановления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 до 01.30.0, 28.30.4, 39.00.0, 42.99, 43.12.3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инфраструктура, использующие технологии и продукты восстановления почвы от загрязнения и деградации, улучшение плодородия почвы; устойчивое земледелие, переход на устойчивые системы земледелия, включая органические системы земледелия;</w:t>
            </w:r>
          </w:p>
          <w:p>
            <w:pPr>
              <w:spacing w:after="20"/>
              <w:ind w:left="20"/>
              <w:jc w:val="both"/>
            </w:pPr>
            <w:r>
              <w:rPr>
                <w:rFonts w:ascii="Times New Roman"/>
                <w:b w:val="false"/>
                <w:i w:val="false"/>
                <w:color w:val="000000"/>
                <w:sz w:val="20"/>
              </w:rPr>
              <w:t>
применение фитомелиоративных и механических методов защиты почв;</w:t>
            </w:r>
          </w:p>
          <w:p>
            <w:pPr>
              <w:spacing w:after="20"/>
              <w:ind w:left="20"/>
              <w:jc w:val="both"/>
            </w:pPr>
            <w:r>
              <w:rPr>
                <w:rFonts w:ascii="Times New Roman"/>
                <w:b w:val="false"/>
                <w:i w:val="false"/>
                <w:color w:val="000000"/>
                <w:sz w:val="20"/>
              </w:rPr>
              <w:t>
применение нулевых, влагосберегающих и почвозащитных технологий в обработке почвы;</w:t>
            </w:r>
          </w:p>
          <w:p>
            <w:pPr>
              <w:spacing w:after="20"/>
              <w:ind w:left="20"/>
              <w:jc w:val="both"/>
            </w:pPr>
            <w:r>
              <w:rPr>
                <w:rFonts w:ascii="Times New Roman"/>
                <w:b w:val="false"/>
                <w:i w:val="false"/>
                <w:color w:val="000000"/>
                <w:sz w:val="20"/>
              </w:rPr>
              <w:t>
возделывание адаптированных к местным условиям культур и сортов;</w:t>
            </w:r>
          </w:p>
          <w:p>
            <w:pPr>
              <w:spacing w:after="0"/>
              <w:ind w:left="0"/>
              <w:jc w:val="both"/>
            </w:pPr>
            <w:r>
              <w:rPr>
                <w:rFonts w:ascii="Times New Roman"/>
                <w:b w:val="false"/>
                <w:i w:val="false"/>
                <w:color w:val="000000"/>
                <w:sz w:val="20"/>
              </w:rPr>
              <w:t>
очищение от техногенных и антропогенных загрязнений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Устойчивое использование воды, отходов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Устойчивое использование воды и водосбережение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Производство, приобретение и установка технологий и систем водосбережения, хранения и распределения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01.61.2, 36.00.0, 42.21.2, 42.91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производство, приобретение и установка технологий и систем водосбережения, хранения и распределения;</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технологии и оборудование для очистки питьевой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резервуары грунтовых вод для сбора талого снега или паводков, а также для регулирования уровня воды в реке;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шахтных и карьерных вод для промышленного, сельскохозяйственного, рекреационного или иного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промышленные водосберегающие технологии и измерительное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сельскохозяйственное водосберегающее орошение;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сбора дождевой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подпитки подземных вод;</w:t>
            </w:r>
          </w:p>
          <w:p>
            <w:pPr>
              <w:spacing w:after="20"/>
              <w:ind w:left="20"/>
              <w:jc w:val="both"/>
            </w:pPr>
            <w:r>
              <w:rPr>
                <w:rFonts w:ascii="Times New Roman"/>
                <w:b w:val="false"/>
                <w:i w:val="false"/>
                <w:color w:val="000000"/>
                <w:sz w:val="20"/>
              </w:rPr>
              <w:t>
каналы и системы распределения;</w:t>
            </w:r>
          </w:p>
          <w:p>
            <w:pPr>
              <w:spacing w:after="20"/>
              <w:ind w:left="20"/>
              <w:jc w:val="both"/>
            </w:pPr>
            <w:r>
              <w:rPr>
                <w:rFonts w:ascii="Times New Roman"/>
                <w:b w:val="false"/>
                <w:i w:val="false"/>
                <w:color w:val="000000"/>
                <w:sz w:val="20"/>
              </w:rPr>
              <w:t>
управление ливневыми стоками, системы водооборотов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потребления свежей (природной) воды не ниже 40 % на хозяйственно-питьевые нужды, 30 % на орошение и 70 % для производственных и технических нужд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Предотвращение и устранение последствий засухи, наводнений и селей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 36.00, 42.21, 84.25, 42.11.1-42.99.0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ирригационных систем для борьбы с засухой;</w:t>
            </w:r>
          </w:p>
          <w:p>
            <w:pPr>
              <w:spacing w:after="20"/>
              <w:ind w:left="20"/>
              <w:jc w:val="both"/>
            </w:pPr>
            <w:r>
              <w:rPr>
                <w:rFonts w:ascii="Times New Roman"/>
                <w:b w:val="false"/>
                <w:i w:val="false"/>
                <w:color w:val="000000"/>
                <w:sz w:val="20"/>
              </w:rPr>
              <w:t>
строительство и эксплуатация подключений к водным системам, водоохранных сооружений и других объектов по предотвращению и реагированию на водные бедствия;</w:t>
            </w:r>
          </w:p>
          <w:p>
            <w:pPr>
              <w:spacing w:after="20"/>
              <w:ind w:left="20"/>
              <w:jc w:val="both"/>
            </w:pPr>
            <w:r>
              <w:rPr>
                <w:rFonts w:ascii="Times New Roman"/>
                <w:b w:val="false"/>
                <w:i w:val="false"/>
                <w:color w:val="000000"/>
                <w:sz w:val="20"/>
              </w:rPr>
              <w:t>
строительство противонагонных барьеров, насосных станций, дамб, затворов, дамб для береговой эрозионной инфраструктуры, ливневой канализации, противоселевых систем, дренажных систем в транспортной и энергетической инфраструктуре;</w:t>
            </w:r>
          </w:p>
          <w:p>
            <w:pPr>
              <w:spacing w:after="20"/>
              <w:ind w:left="20"/>
              <w:jc w:val="both"/>
            </w:pPr>
            <w:r>
              <w:rPr>
                <w:rFonts w:ascii="Times New Roman"/>
                <w:b w:val="false"/>
                <w:i w:val="false"/>
                <w:color w:val="000000"/>
                <w:sz w:val="20"/>
              </w:rPr>
              <w:t>
автоматизированные и SMART-системы мониторинга, раннего оповещения о штормах, засухах, наводнениях или разрушениях плотин;</w:t>
            </w:r>
          </w:p>
          <w:p>
            <w:pPr>
              <w:spacing w:after="20"/>
              <w:ind w:left="20"/>
              <w:jc w:val="both"/>
            </w:pPr>
            <w:r>
              <w:rPr>
                <w:rFonts w:ascii="Times New Roman"/>
                <w:b w:val="false"/>
                <w:i w:val="false"/>
                <w:color w:val="000000"/>
                <w:sz w:val="20"/>
              </w:rPr>
              <w:t>
процессы мониторинга и измерения качества или количества воды;</w:t>
            </w:r>
          </w:p>
          <w:p>
            <w:pPr>
              <w:spacing w:after="20"/>
              <w:ind w:left="20"/>
              <w:jc w:val="both"/>
            </w:pPr>
            <w:r>
              <w:rPr>
                <w:rFonts w:ascii="Times New Roman"/>
                <w:b w:val="false"/>
                <w:i w:val="false"/>
                <w:color w:val="000000"/>
                <w:sz w:val="20"/>
              </w:rPr>
              <w:t>
интеллектуальные сети для мониторинга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Сооружения подготовки воды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36.00, 42.91, 43.22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или инфраструктура для использования воды;</w:t>
            </w:r>
          </w:p>
          <w:p>
            <w:pPr>
              <w:spacing w:after="20"/>
              <w:ind w:left="20"/>
              <w:jc w:val="both"/>
            </w:pPr>
            <w:r>
              <w:rPr>
                <w:rFonts w:ascii="Times New Roman"/>
                <w:b w:val="false"/>
                <w:i w:val="false"/>
                <w:color w:val="000000"/>
                <w:sz w:val="20"/>
              </w:rPr>
              <w:t>
системы очистки воды;</w:t>
            </w:r>
          </w:p>
          <w:p>
            <w:pPr>
              <w:spacing w:after="20"/>
              <w:ind w:left="20"/>
              <w:jc w:val="both"/>
            </w:pPr>
            <w:r>
              <w:rPr>
                <w:rFonts w:ascii="Times New Roman"/>
                <w:b w:val="false"/>
                <w:i w:val="false"/>
                <w:color w:val="000000"/>
                <w:sz w:val="20"/>
              </w:rPr>
              <w:t>
опреснительные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6"/>
          <w:p>
            <w:pPr>
              <w:spacing w:after="20"/>
              <w:ind w:left="20"/>
              <w:jc w:val="both"/>
            </w:pPr>
            <w:r>
              <w:rPr>
                <w:rFonts w:ascii="Times New Roman"/>
                <w:b w:val="false"/>
                <w:i w:val="false"/>
                <w:color w:val="000000"/>
                <w:sz w:val="20"/>
              </w:rPr>
              <w:t>
питьевая вода: вода должна соответствовать санитарным требованиям/нормам, действующим на момент проведения оценки соответствия порогу таксономии;</w:t>
            </w:r>
          </w:p>
          <w:bookmarkEnd w:id="36"/>
          <w:p>
            <w:pPr>
              <w:spacing w:after="20"/>
              <w:ind w:left="20"/>
              <w:jc w:val="both"/>
            </w:pPr>
            <w:r>
              <w:rPr>
                <w:rFonts w:ascii="Times New Roman"/>
                <w:b w:val="false"/>
                <w:i w:val="false"/>
                <w:color w:val="000000"/>
                <w:sz w:val="20"/>
              </w:rPr>
              <w:t>
техническая вода: вода должна соответствовать паспортам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Установки по очистке сточных вод для дальнейшего вторичного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36.00, 37.00, 42.91, 43.22, 52.21.5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7"/>
          <w:p>
            <w:pPr>
              <w:spacing w:after="20"/>
              <w:ind w:left="20"/>
              <w:jc w:val="both"/>
            </w:pPr>
            <w:r>
              <w:rPr>
                <w:rFonts w:ascii="Times New Roman"/>
                <w:b w:val="false"/>
                <w:i w:val="false"/>
                <w:color w:val="000000"/>
                <w:sz w:val="20"/>
              </w:rPr>
              <w:t>
оборудование для очистки сточных вод;</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заводы по очистке сточных вод; очистка шахтных и карьерных вод, канализационные/дренажные сети с отделением ливневой воды от других сточных вод, системы повторного использования и рециркуляции бытовых и производственных сточных вод;</w:t>
            </w:r>
          </w:p>
          <w:p>
            <w:pPr>
              <w:spacing w:after="20"/>
              <w:ind w:left="20"/>
              <w:jc w:val="both"/>
            </w:pPr>
            <w:r>
              <w:rPr>
                <w:rFonts w:ascii="Times New Roman"/>
                <w:b w:val="false"/>
                <w:i w:val="false"/>
                <w:color w:val="000000"/>
                <w:sz w:val="20"/>
              </w:rPr>
              <w:t>
использование замкнутого цикла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очищенных вод по целевому использованию на вторичное водопользование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Отходы и сточные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Оборудование для сбора, сортировки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28.12, 28.22.2, 28.22.3, 28.22.5, 28.22.9, 38.11, 38.21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сбора и сортировки коммунальных отходов, включая приемные пункты вторичного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отходы должны быть собраны раздельно и вторичное сырье направлено на переработку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Утилизация и переработка отходов, оборудование для восстановления, повторного использования и переработки вторичного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28.22.9, 33.12.2, 33.20.0, 38.21, 38.32.1, 38.32.2, 38.32.3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8"/>
          <w:p>
            <w:pPr>
              <w:spacing w:after="20"/>
              <w:ind w:left="20"/>
              <w:jc w:val="both"/>
            </w:pPr>
            <w:r>
              <w:rPr>
                <w:rFonts w:ascii="Times New Roman"/>
                <w:b w:val="false"/>
                <w:i w:val="false"/>
                <w:color w:val="000000"/>
                <w:sz w:val="20"/>
              </w:rPr>
              <w:t>
создание экологичной инфраструктуры обращения с твердыми коммунальными отходами, инфраструктуры для переработки и повторного применения отходов, образующихся при строительстве и ремонте зданий, сооружений и инфраструктурных объектов;</w:t>
            </w:r>
          </w:p>
          <w:bookmarkEnd w:id="38"/>
          <w:p>
            <w:pPr>
              <w:spacing w:after="20"/>
              <w:ind w:left="20"/>
              <w:jc w:val="both"/>
            </w:pPr>
            <w:r>
              <w:rPr>
                <w:rFonts w:ascii="Times New Roman"/>
                <w:b w:val="false"/>
                <w:i w:val="false"/>
                <w:color w:val="000000"/>
                <w:sz w:val="20"/>
              </w:rPr>
              <w:t>
оборудование для восстановления вторичного сырья (исключая сжигание), повторного использования и переработки вторичного сырья, в том числе оборудование для переработки строительных материалов, металлического лома, пластмасс, стекла, бумаги, электроники (исключая опасные компоненты), отработанных шин и золошлаковых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собранного вторичного сырья не менее 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Объекты для сбора, сортировки, восстановления, повторного использования, переработки и утилизации промышленных и опасных отходов, за исключением оборудования по сжиганию опасных отходов и энергетической утилизации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28.22.9, 28.95.0, 28.96.0, 33.20.0, 38.11, 38.12, 38.21, 38.22.0,</w:t>
            </w:r>
          </w:p>
          <w:bookmarkEnd w:id="39"/>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сбора, сортировки, восстановления, повторного использования, переработки и утилизации промышленных и опасных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справочнику НДТ (BREF) по обработке отходов в части управления отходами и побочными продуктами, особенно опасными промышленными отходами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Строительство и модернизация полигонов и заводов по переработке отходов, запрещенных к захоронению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38.11, 38.21.0, 38.22.0, 38.31, 38.32, 39.00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модернизация полигонов; строительство заводов по переработке отходов, запрещенных к захоронению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установленным требованиям и нормам Республики Казахстан, действующим на момент проведения оценки соответствия порогу таксономии (до 2030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Оборудование и техника для компостирования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28.15.2, 28.22.3, 28.22.9, 38.21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техника по производству компоста из биологически разлагаемых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0"/>
          <w:p>
            <w:pPr>
              <w:spacing w:after="20"/>
              <w:ind w:left="20"/>
              <w:jc w:val="both"/>
            </w:pPr>
            <w:r>
              <w:rPr>
                <w:rFonts w:ascii="Times New Roman"/>
                <w:b w:val="false"/>
                <w:i w:val="false"/>
                <w:color w:val="000000"/>
                <w:sz w:val="20"/>
              </w:rPr>
              <w:t>
полученный компост используется для удобрения почвы;</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пластика, стекла и металла в готовом компосте;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компоста</w:t>
            </w:r>
          </w:p>
          <w:p>
            <w:pPr>
              <w:spacing w:after="20"/>
              <w:ind w:left="20"/>
              <w:jc w:val="both"/>
            </w:pPr>
            <w:r>
              <w:rPr>
                <w:rFonts w:ascii="Times New Roman"/>
                <w:b w:val="false"/>
                <w:i w:val="false"/>
                <w:color w:val="000000"/>
                <w:sz w:val="20"/>
              </w:rPr>
              <w:t>
национальным стандартам для биоудобрений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Установка по очистке сточных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37.00, 38, 39.00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сбора, хранения, очистки и удаления сточных вод; заводы по очистке сточных вод; сооружения по очистке шлама; оборудование для очистки питьевой воды; опреснительные установки; очистные сооружения для навоза и навозной жижи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 и воду находятся в пределах диапазонов уровня связанных выбросов – НДТ (BAT-AELs или пороговых значений), установленных в справочнике НДТ (BREF) для анаэробной обработки отходов (если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Установки по утилизации отходов с выработкой энергии, за исключением отходов, указанных в перечне отходов, не подлежащих энергетической утилизации, утвержденном уполномоченным органом в области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28.22.9, 28.95.0, 28.96.0, 33.20.0, 38.11, 38.12, 38.20, 38.21, 38.22,</w:t>
            </w:r>
          </w:p>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 утилизации отходов, включая твердые бытовые отходы, отходы от переработки/компостирования/анаэробного дигерирования с получением качественного побочного продукта электроэнергии или тепла (например, сжигание, газификация, пиролиз и плазма)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коэффициент полезного действия (КПД) установки ≥ 25 %;</w:t>
            </w:r>
          </w:p>
          <w:p>
            <w:pPr>
              <w:spacing w:after="20"/>
              <w:ind w:left="20"/>
              <w:jc w:val="both"/>
            </w:pPr>
            <w:r>
              <w:rPr>
                <w:rFonts w:ascii="Times New Roman"/>
                <w:b w:val="false"/>
                <w:i w:val="false"/>
                <w:color w:val="000000"/>
                <w:sz w:val="20"/>
              </w:rPr>
              <w:t>
2) утилизация зольного остатка;</w:t>
            </w:r>
          </w:p>
          <w:p>
            <w:pPr>
              <w:spacing w:after="20"/>
              <w:ind w:left="20"/>
              <w:jc w:val="both"/>
            </w:pPr>
            <w:r>
              <w:rPr>
                <w:rFonts w:ascii="Times New Roman"/>
                <w:b w:val="false"/>
                <w:i w:val="false"/>
                <w:color w:val="000000"/>
                <w:sz w:val="20"/>
              </w:rPr>
              <w:t>
3) извлечение металла из золы ≥ 90 %;</w:t>
            </w:r>
          </w:p>
          <w:p>
            <w:pPr>
              <w:spacing w:after="20"/>
              <w:ind w:left="20"/>
              <w:jc w:val="both"/>
            </w:pPr>
            <w:r>
              <w:rPr>
                <w:rFonts w:ascii="Times New Roman"/>
                <w:b w:val="false"/>
                <w:i w:val="false"/>
                <w:color w:val="000000"/>
                <w:sz w:val="20"/>
              </w:rPr>
              <w:t xml:space="preserve">
4) средняя интенсивность выбросов парниковых газов при производстве электроэнергии и/или тепла в течение срока службы завода ≤ лимита для утилизации отходов (лимит для утилизации отходов рассчитывается как интенсивность выбросов парниковых газов в г CO2е/кВтч, производимых мусоросжигающим заводом при минимальной квалификационной эффективности (КПД) в случае удаления плотного и пленочного пластика); </w:t>
            </w:r>
          </w:p>
          <w:p>
            <w:pPr>
              <w:spacing w:after="20"/>
              <w:ind w:left="20"/>
              <w:jc w:val="both"/>
            </w:pPr>
            <w:r>
              <w:rPr>
                <w:rFonts w:ascii="Times New Roman"/>
                <w:b w:val="false"/>
                <w:i w:val="false"/>
                <w:color w:val="000000"/>
                <w:sz w:val="20"/>
              </w:rPr>
              <w:t>
5) проведение оценки проекта на устойчивость и адаптацию к последствиям изменения климата по следующим критериям:</w:t>
            </w:r>
          </w:p>
          <w:p>
            <w:pPr>
              <w:spacing w:after="20"/>
              <w:ind w:left="20"/>
              <w:jc w:val="both"/>
            </w:pPr>
            <w:r>
              <w:rPr>
                <w:rFonts w:ascii="Times New Roman"/>
                <w:b w:val="false"/>
                <w:i w:val="false"/>
                <w:color w:val="000000"/>
                <w:sz w:val="20"/>
              </w:rPr>
              <w:t>
− определение климатических рисков и уязвимости объекта/площадки;</w:t>
            </w:r>
          </w:p>
          <w:p>
            <w:pPr>
              <w:spacing w:after="20"/>
              <w:ind w:left="20"/>
              <w:jc w:val="both"/>
            </w:pPr>
            <w:r>
              <w:rPr>
                <w:rFonts w:ascii="Times New Roman"/>
                <w:b w:val="false"/>
                <w:i w:val="false"/>
                <w:color w:val="000000"/>
                <w:sz w:val="20"/>
              </w:rPr>
              <w:t>
− определение воздействия в более широком контексте (пространственном и временном) за пределами объекта/площадки (т.е. воздействие базовых активов и проектов на более широкую экосистему и заинтересованных лиц в этой экосистеме);</w:t>
            </w:r>
          </w:p>
          <w:p>
            <w:pPr>
              <w:spacing w:after="20"/>
              <w:ind w:left="20"/>
              <w:jc w:val="both"/>
            </w:pPr>
            <w:r>
              <w:rPr>
                <w:rFonts w:ascii="Times New Roman"/>
                <w:b w:val="false"/>
                <w:i w:val="false"/>
                <w:color w:val="000000"/>
                <w:sz w:val="20"/>
              </w:rPr>
              <w:t>
− разработка и внедрение стратегии для смягчения и адаптации объекта к этим климатическим рискам и уязвимостям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Сохранение и восстановление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Замена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токсичного сырья на нетоксичное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Использование вторичного сырья для производства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38.11.0, 38.32.1, 38.32.2, 38.32.3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природных ресурсов на вторичное сырье, выпуск продукции с применением вторичного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 вторичного сырья в составе продукции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Устойчивое сельское хозяйство, землепользование, лесное хозяйство, сохранение биоразнообразия и экологический туризм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Устойчивое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Продукция органического сельского хозяйства (растениеводство и животноводство) (кроме текстильной)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земледельческих и рыбных органических продуктов (включая строительство и эксплуатацию объектов), соответствующих стандартам чистого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1"/>
          <w:p>
            <w:pPr>
              <w:spacing w:after="20"/>
              <w:ind w:left="20"/>
              <w:jc w:val="both"/>
            </w:pPr>
            <w:r>
              <w:rPr>
                <w:rFonts w:ascii="Times New Roman"/>
                <w:b w:val="false"/>
                <w:i w:val="false"/>
                <w:color w:val="000000"/>
                <w:sz w:val="20"/>
              </w:rPr>
              <w:t>
1) соответствующие международные, межгосударственные или национальные стандарты для органических продуктов, а также маркировка приобретенных органических или "зеленых" продуктов;</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экологические стандарты и стандарты качества для использования пестицидов, удобрений, ветеринарных препаратов, кормов и кормовых добавок, пищевых добавок и гигиены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устойчивые методы ведения сельского хозяйства, такие как управление отходами и эффективность использования воды, в том числе с использованием дождевой воды;</w:t>
            </w:r>
          </w:p>
          <w:p>
            <w:pPr>
              <w:spacing w:after="20"/>
              <w:ind w:left="20"/>
              <w:jc w:val="both"/>
            </w:pPr>
            <w:r>
              <w:rPr>
                <w:rFonts w:ascii="Times New Roman"/>
                <w:b w:val="false"/>
                <w:i w:val="false"/>
                <w:color w:val="000000"/>
                <w:sz w:val="20"/>
              </w:rPr>
              <w:t>
4) устойчивые методы цепочки поставок (например, предотвращение потери продуктов питания); производство органической продукции, получившей международный, межгосударственный либо признанный национальный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Климатически умное сельское хозяйство (устойчивое управление пастбищами и животноводством)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01.1, 01.2, 01.4, 01.6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использования энергии и воды в тяговых, ирригационных и других сельскохозяйственных или животноводческих процессах, а также уменьшение использования земли, т.е. внедрение ротационного использования пастбищных угодий (консервация деградированных пастбищ) для снижения деградации и сохранения экосистемы; применение стандартов по животноводству для устойчивого управления пастбищными угодьями и содействия производству/управлению животноводством на основе качества (высокой урожайности); эффективная обработка почвы (предотвращение засухи), аквакультура, пастухи/скотоводческие общины, уменьшающие размеры своего стада и внедряющие более устойчивые методы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2"/>
          <w:p>
            <w:pPr>
              <w:spacing w:after="20"/>
              <w:ind w:left="20"/>
              <w:jc w:val="both"/>
            </w:pPr>
            <w:r>
              <w:rPr>
                <w:rFonts w:ascii="Times New Roman"/>
                <w:b w:val="false"/>
                <w:i w:val="false"/>
                <w:color w:val="000000"/>
                <w:sz w:val="20"/>
              </w:rPr>
              <w:t>
сокращение потребления свежей (природной) воды не ниже 30 %;</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вторичное использование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ВИЭ;</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минимальное снижение потребления энергии или выбросов парниковых газов не ниже 20 %;</w:t>
            </w:r>
          </w:p>
          <w:p>
            <w:pPr>
              <w:spacing w:after="20"/>
              <w:ind w:left="20"/>
              <w:jc w:val="both"/>
            </w:pPr>
            <w:r>
              <w:rPr>
                <w:rFonts w:ascii="Times New Roman"/>
                <w:b w:val="false"/>
                <w:i w:val="false"/>
                <w:color w:val="000000"/>
                <w:sz w:val="20"/>
              </w:rPr>
              <w:t>
применительно к проектам, предусматривающим уменьшение использования земли, консервацию деградированных пастбищ, внедрение методов устойчивого сельского хозяйства и (или) животноводства, применимы альтернативные критерии – демонстрация повышения продуктивности без увеличения нагрузки на экосистемы, уменьшения пищевых и сельскохозяйственных отходов либо повышения адаптации к изменению климата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Устойчивое управление лесами и сохранение биоразнообразия и экосистем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Облесение и лесовосстановление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3"/>
          <w:p>
            <w:pPr>
              <w:spacing w:after="20"/>
              <w:ind w:left="20"/>
              <w:jc w:val="both"/>
            </w:pPr>
            <w:r>
              <w:rPr>
                <w:rFonts w:ascii="Times New Roman"/>
                <w:b w:val="false"/>
                <w:i w:val="false"/>
                <w:color w:val="000000"/>
                <w:sz w:val="20"/>
              </w:rPr>
              <w:t>
посадка лесных культур;</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лесных плантаций, в том числе проекты, соответствующие стандартам REDD+, VERRA;</w:t>
            </w:r>
          </w:p>
          <w:p>
            <w:pPr>
              <w:spacing w:after="20"/>
              <w:ind w:left="20"/>
              <w:jc w:val="both"/>
            </w:pPr>
            <w:r>
              <w:rPr>
                <w:rFonts w:ascii="Times New Roman"/>
                <w:b w:val="false"/>
                <w:i w:val="false"/>
                <w:color w:val="000000"/>
                <w:sz w:val="20"/>
              </w:rPr>
              <w:t>
создание зеленых зон вокруг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приживаемость лесных культур определяется согласно приложению 18 к Правилам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утвержденным приказом исполняющего обязанности Министра сельского хозяйства Республики Казахстан от 19 октября 2012 года № 17-02/532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Устойчивое управление лесами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02.10, 02.40.0, 71.12.4, 71.12.5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увеличивающие функцию лесов по депонированию углерода или снижающие воздействие лесохозяйственной деятельности за счет соответствующих практик устойчивого управления лесными экосистемами, информационных систем и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4"/>
          <w:p>
            <w:pPr>
              <w:spacing w:after="20"/>
              <w:ind w:left="20"/>
              <w:jc w:val="both"/>
            </w:pPr>
            <w:r>
              <w:rPr>
                <w:rFonts w:ascii="Times New Roman"/>
                <w:b w:val="false"/>
                <w:i w:val="false"/>
                <w:color w:val="000000"/>
                <w:sz w:val="20"/>
              </w:rPr>
              <w:t>
применительно к управлению лесами высокой природоохранной ценности – наличие добровольной международной сертификации, например, сертификации Лесного попечительского совета – (Forest Stewardship Council-FSC), Программы одобрения схем лесной сертификации (Program for the Endorsement of Forest Certification schemes-PEFC) либо добровольной сертификации по национальному стандарту устойчивого лесоуправления;</w:t>
            </w:r>
          </w:p>
          <w:bookmarkEnd w:id="44"/>
          <w:p>
            <w:pPr>
              <w:spacing w:after="20"/>
              <w:ind w:left="20"/>
              <w:jc w:val="both"/>
            </w:pPr>
            <w:r>
              <w:rPr>
                <w:rFonts w:ascii="Times New Roman"/>
                <w:b w:val="false"/>
                <w:i w:val="false"/>
                <w:color w:val="000000"/>
                <w:sz w:val="20"/>
              </w:rPr>
              <w:t>
в остальных случаях – без ограничений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Сохранение биоразнообразия и экосистем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91.04.2, 93.19.0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5"/>
          <w:p>
            <w:pPr>
              <w:spacing w:after="20"/>
              <w:ind w:left="20"/>
              <w:jc w:val="both"/>
            </w:pPr>
            <w:r>
              <w:rPr>
                <w:rFonts w:ascii="Times New Roman"/>
                <w:b w:val="false"/>
                <w:i w:val="false"/>
                <w:color w:val="000000"/>
                <w:sz w:val="20"/>
              </w:rPr>
              <w:t>
проекты по сохранению биосферы посредством защиты и (или) восстановления деградированных экосистем;</w:t>
            </w:r>
          </w:p>
          <w:bookmarkEnd w:id="45"/>
          <w:p>
            <w:pPr>
              <w:spacing w:after="20"/>
              <w:ind w:left="20"/>
              <w:jc w:val="both"/>
            </w:pPr>
            <w:r>
              <w:rPr>
                <w:rFonts w:ascii="Times New Roman"/>
                <w:b w:val="false"/>
                <w:i w:val="false"/>
                <w:color w:val="000000"/>
                <w:sz w:val="20"/>
              </w:rPr>
              <w:t>
строительство и поддержание экологической функциональной зоны, такой как конкретная среда обитания диких животных, водно-болотные угодья, торфяники, пустыни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Устойчивый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Продукты и услуги, способствующие развитию экотуризма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64.19, 64.20, 64.92, 64.99, 84.13, 85.10, 79, 55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направленных на развитие экологического туризма, вовлечение местного населения (программы микрокредитования, субсидии), экологическое просвещение, создание инфраструктуры для экологического туризма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законодательными нормами Республики Казахстан (по туристской деятельности), а также национальными, международными, межгосударственными экологическими стандартами или стандартами экомаркировки в сфере туристических услуг и экологически чистых маршрутов, включая или признанные стандарты экомаркировки иностранного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Устойчивое управление гостиницей и лагерем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55.10, 55.20, 55.30, 55.90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 отелей и лагерей в соответствии с национальными, международными или межгосударственными стандартами устойчивого гостиничного бизнеса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национальным, международным, межгосударственным экологическими стандартами или стандартом экомаркировки в сфере услуг средств размещения и экологических требований к гостиницам, хостелам либо признанным стандартам иностранного государства для гостиничного сектора, например, "Листок жизни", EU Eco-labelling, Nordic Swan и др.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Чистый транспорт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Низкоуглеродные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Покупка, аренда низкоуглеродных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6"/>
          <w:p>
            <w:pPr>
              <w:spacing w:after="20"/>
              <w:ind w:left="20"/>
              <w:jc w:val="both"/>
            </w:pPr>
            <w:r>
              <w:rPr>
                <w:rFonts w:ascii="Times New Roman"/>
                <w:b w:val="false"/>
                <w:i w:val="false"/>
                <w:color w:val="000000"/>
                <w:sz w:val="20"/>
              </w:rPr>
              <w:t>
любой код ОКЭД для покупателя (вид деятельности компании может быть любой)</w:t>
            </w:r>
          </w:p>
          <w:bookmarkEnd w:id="46"/>
          <w:p>
            <w:pPr>
              <w:spacing w:after="20"/>
              <w:ind w:left="20"/>
              <w:jc w:val="both"/>
            </w:pPr>
            <w:r>
              <w:rPr>
                <w:rFonts w:ascii="Times New Roman"/>
                <w:b w:val="false"/>
                <w:i w:val="false"/>
                <w:color w:val="000000"/>
                <w:sz w:val="20"/>
              </w:rPr>
              <w:t>
77.1, 77.3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аренда низкоуглеродных автомобилей, в том числе электромобилей, транспортных средств на водородных, гибридных двигателях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7"/>
          <w:p>
            <w:pPr>
              <w:spacing w:after="20"/>
              <w:ind w:left="20"/>
              <w:jc w:val="both"/>
            </w:pPr>
            <w:r>
              <w:rPr>
                <w:rFonts w:ascii="Times New Roman"/>
                <w:b w:val="false"/>
                <w:i w:val="false"/>
                <w:color w:val="000000"/>
                <w:sz w:val="20"/>
              </w:rPr>
              <w:t>
прямые выбросы &lt;50 граммов CO2е / км;</w:t>
            </w:r>
          </w:p>
          <w:bookmarkEnd w:id="47"/>
          <w:p>
            <w:pPr>
              <w:spacing w:after="20"/>
              <w:ind w:left="20"/>
              <w:jc w:val="both"/>
            </w:pPr>
            <w:r>
              <w:rPr>
                <w:rFonts w:ascii="Times New Roman"/>
                <w:b w:val="false"/>
                <w:i w:val="false"/>
                <w:color w:val="000000"/>
                <w:sz w:val="20"/>
              </w:rPr>
              <w:t>
для мусороуборочной и сельскохозяйственной техники допускается альтернативный порог – соответствие стандарту Euro V или VI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Производственные цепочки поставок для низкоуглеродных автомобилей, безмоторного и микроэлектротранспорта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27.20.0, 27.90, 29.10, 29.3, 30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8"/>
          <w:p>
            <w:pPr>
              <w:spacing w:after="20"/>
              <w:ind w:left="20"/>
              <w:jc w:val="both"/>
            </w:pPr>
            <w:r>
              <w:rPr>
                <w:rFonts w:ascii="Times New Roman"/>
                <w:b w:val="false"/>
                <w:i w:val="false"/>
                <w:color w:val="000000"/>
                <w:sz w:val="20"/>
              </w:rPr>
              <w:t>
специализированные производственные мощности для транспортных средств и ключевых компонентов;</w:t>
            </w:r>
          </w:p>
          <w:bookmarkEnd w:id="48"/>
          <w:p>
            <w:pPr>
              <w:spacing w:after="20"/>
              <w:ind w:left="20"/>
              <w:jc w:val="both"/>
            </w:pPr>
            <w:r>
              <w:rPr>
                <w:rFonts w:ascii="Times New Roman"/>
                <w:b w:val="false"/>
                <w:i w:val="false"/>
                <w:color w:val="000000"/>
                <w:sz w:val="20"/>
              </w:rPr>
              <w:t>
батареи, используемые в соответствующих транспортных средствах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выбросы &lt;50 граммов CO2е / км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Низкоуглеродные грузоперевозки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Низкоуглеродные грузоперевозки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30.20, 49.20, 49.3, 49.41, 50, 51, 77.12, 77.34, 77.35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9"/>
          <w:p>
            <w:pPr>
              <w:spacing w:after="20"/>
              <w:ind w:left="20"/>
              <w:jc w:val="both"/>
            </w:pPr>
            <w:r>
              <w:rPr>
                <w:rFonts w:ascii="Times New Roman"/>
                <w:b w:val="false"/>
                <w:i w:val="false"/>
                <w:color w:val="000000"/>
                <w:sz w:val="20"/>
              </w:rPr>
              <w:t>
подвижной состав для электрифицированных и неэлектрифицированных грузовых железнодорожных перевозок; воздушно транспортные средства на альтернативных источниках топлива;</w:t>
            </w:r>
          </w:p>
          <w:bookmarkEnd w:id="49"/>
          <w:p>
            <w:pPr>
              <w:spacing w:after="20"/>
              <w:ind w:left="20"/>
              <w:jc w:val="both"/>
            </w:pPr>
            <w:r>
              <w:rPr>
                <w:rFonts w:ascii="Times New Roman"/>
                <w:b w:val="false"/>
                <w:i w:val="false"/>
                <w:color w:val="000000"/>
                <w:sz w:val="20"/>
              </w:rPr>
              <w:t>
низкоуглеродные грузовые автомобильные перевозки; низкоуглеродный водный и речной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перевозок – прямые выбросы 50 граммов CO2е/тонна км или соответствие стандарту Euro V или VI;</w:t>
            </w:r>
          </w:p>
          <w:p>
            <w:pPr>
              <w:spacing w:after="20"/>
              <w:ind w:left="20"/>
              <w:jc w:val="both"/>
            </w:pPr>
            <w:r>
              <w:rPr>
                <w:rFonts w:ascii="Times New Roman"/>
                <w:b w:val="false"/>
                <w:i w:val="false"/>
                <w:color w:val="000000"/>
                <w:sz w:val="20"/>
              </w:rPr>
              <w:t>
для железнодорожных перевозок – прямые выбросы 40 граммов CO2е/тонна км;</w:t>
            </w:r>
          </w:p>
          <w:p>
            <w:pPr>
              <w:spacing w:after="20"/>
              <w:ind w:left="20"/>
              <w:jc w:val="both"/>
            </w:pPr>
            <w:r>
              <w:rPr>
                <w:rFonts w:ascii="Times New Roman"/>
                <w:b w:val="false"/>
                <w:i w:val="false"/>
                <w:color w:val="000000"/>
                <w:sz w:val="20"/>
              </w:rPr>
              <w:t>
для водного транспорта – судно имеет нулевые прямые выбросы CO2e либо получает 100 % энергии из топлива или иных энергоносителей, обеспечивающих снижение выбросов парниковых газов как минимум на 80 % по сравнению с эквивалентом ископаемого топлива, при этом суда не предназначены для перевозки ископаемого топлива;</w:t>
            </w:r>
          </w:p>
          <w:p>
            <w:pPr>
              <w:spacing w:after="20"/>
              <w:ind w:left="20"/>
              <w:jc w:val="both"/>
            </w:pPr>
            <w:r>
              <w:rPr>
                <w:rFonts w:ascii="Times New Roman"/>
                <w:b w:val="false"/>
                <w:i w:val="false"/>
                <w:color w:val="000000"/>
                <w:sz w:val="20"/>
              </w:rPr>
              <w:t>
для воздушного транспорта – источник энергии имеет нулевые прямые выбросы CO2 (например, водород или электричество), либо в качестве топлива применяется SAF (экологически чистое авиационное топливо), обеспечивающее существенное снижение выбросов CO2е на тонна/км или пассажир/км, при этом сырье для SAF должно быть признано ИКАО, соответствующим требованиям в рамках схемы компенсации и сокращения выбросов углерода для международной авиации (CORSIA), и (или) сертифицировано в рамках Директивы ЕС по возобновляемой энергии (EU RED)"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Чистая транспортная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Инфраструктура общественного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42.1, 49.10, 49.20, 49.31, 49.39, 72.19.1, 77.11, 77.21, 77.39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0"/>
          <w:p>
            <w:pPr>
              <w:spacing w:after="20"/>
              <w:ind w:left="20"/>
              <w:jc w:val="both"/>
            </w:pPr>
            <w:r>
              <w:rPr>
                <w:rFonts w:ascii="Times New Roman"/>
                <w:b w:val="false"/>
                <w:i w:val="false"/>
                <w:color w:val="000000"/>
                <w:sz w:val="20"/>
              </w:rPr>
              <w:t>
общественный автомобильный, железнодорожный, водный и воздушный транспорт и транспортная инфраструктура; системы скоростных автобусных перевозок (BRT systems);</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обособленная полоса для общественного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парковки для общественного транспорта в конечном пункте;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остановочные пункты, транспортно-пересадочный узел;</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общественная велосипедная инфраструктура;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общественная велосипедная инфраструктура и инфраструктура для использования электросамокатов, моноколҰс и прочих средств индивидуальной мобильности, в том числе связанная с созданием данной инфраструктуры;</w:t>
            </w:r>
          </w:p>
          <w:p>
            <w:pPr>
              <w:spacing w:after="20"/>
              <w:ind w:left="20"/>
              <w:jc w:val="both"/>
            </w:pPr>
            <w:r>
              <w:rPr>
                <w:rFonts w:ascii="Times New Roman"/>
                <w:b w:val="false"/>
                <w:i w:val="false"/>
                <w:color w:val="000000"/>
                <w:sz w:val="20"/>
              </w:rPr>
              <w:t>
покупка парка безмоторного и микроэлектротранспорта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1"/>
          <w:p>
            <w:pPr>
              <w:spacing w:after="20"/>
              <w:ind w:left="20"/>
              <w:jc w:val="both"/>
            </w:pPr>
            <w:r>
              <w:rPr>
                <w:rFonts w:ascii="Times New Roman"/>
                <w:b w:val="false"/>
                <w:i w:val="false"/>
                <w:color w:val="000000"/>
                <w:sz w:val="20"/>
              </w:rPr>
              <w:t>
для общественного транспорта – прямые выбросы 50 граммов CO2е / пассажир - км;</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без ограничений для велосипедной инфраструктуры и инфраструктуры для использования средств индивидуальной мобильности;</w:t>
            </w:r>
          </w:p>
          <w:p>
            <w:pPr>
              <w:spacing w:after="20"/>
              <w:ind w:left="20"/>
              <w:jc w:val="both"/>
            </w:pPr>
            <w:r>
              <w:rPr>
                <w:rFonts w:ascii="Times New Roman"/>
                <w:b w:val="false"/>
                <w:i w:val="false"/>
                <w:color w:val="000000"/>
                <w:sz w:val="20"/>
              </w:rPr>
              <w:t>
для водного и воздушного транспорта – см. пороговые критерии для подсектора по низкоуглеродным перевозкам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Низкоуглеродная транспортная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42, 52.21, 45.20.2, 45.20.3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инфраструктура для зарядных станций и альтернативного топлива (в случае, когда зарядные станции альтернативного топлива находятся отдельно от заправочных станций и гаражей ископаемого топлива); экотопливная станция, зарядная станция для электромобилей, троллейбусов, трамваев, электрических автобусов и соответствующей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Планирование низкоуглеродного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2"/>
          <w:p>
            <w:pPr>
              <w:spacing w:after="20"/>
              <w:ind w:left="20"/>
              <w:jc w:val="both"/>
            </w:pPr>
            <w:r>
              <w:rPr>
                <w:rFonts w:ascii="Times New Roman"/>
                <w:b w:val="false"/>
                <w:i w:val="false"/>
                <w:color w:val="000000"/>
                <w:sz w:val="20"/>
              </w:rPr>
              <w:t>
интеграция транспортного и градостроительного планирования, ведущая к сокращению использования легковых автомобилей;</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плотная застройка;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многократное использование земли;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на пешее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транзитное сообщение;</w:t>
            </w:r>
          </w:p>
          <w:p>
            <w:pPr>
              <w:spacing w:after="20"/>
              <w:ind w:left="20"/>
              <w:jc w:val="both"/>
            </w:pPr>
            <w:r>
              <w:rPr>
                <w:rFonts w:ascii="Times New Roman"/>
                <w:b w:val="false"/>
                <w:i w:val="false"/>
                <w:color w:val="000000"/>
                <w:sz w:val="20"/>
              </w:rPr>
              <w:t>
умные системы грузоперевозки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Чистые транспортные ИКТ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ИКТ, которые улучшают использование активов, поток и модальное улучшение, независимо от вида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61, 62, 63.1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3"/>
          <w:p>
            <w:pPr>
              <w:spacing w:after="20"/>
              <w:ind w:left="20"/>
              <w:jc w:val="both"/>
            </w:pPr>
            <w:r>
              <w:rPr>
                <w:rFonts w:ascii="Times New Roman"/>
                <w:b w:val="false"/>
                <w:i w:val="false"/>
                <w:color w:val="000000"/>
                <w:sz w:val="20"/>
              </w:rPr>
              <w:t>
информация об общественном транспорте, система регулирования дорожного потока и умный светофор;</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GPS навигатор с датчиком определения геопозиции;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центральное диспетчерское управление;</w:t>
            </w:r>
          </w:p>
          <w:p>
            <w:pPr>
              <w:spacing w:after="20"/>
              <w:ind w:left="20"/>
              <w:jc w:val="both"/>
            </w:pPr>
            <w:r>
              <w:rPr>
                <w:rFonts w:ascii="Times New Roman"/>
                <w:b w:val="false"/>
                <w:i w:val="false"/>
                <w:color w:val="000000"/>
                <w:sz w:val="20"/>
              </w:rPr>
              <w:t>
электронная система оплаты проезда, схемы совместного использования автомобилей, смарт-карты, системы дорожной зарядки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сериям стандартов СТ РК ISO/IEC 30134-2019 "Информационные технологии. Центры обработки данных. Ключевые показатели эффективности", СТ РК ISO 14001-2016 "Системы экологического менеджмента. Требования и руководство по применению", СТ РК ISO 50001-2019 "Системы энергетического менеджмента. Требования и руководство по использованию"</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Переходная энергетика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Альтернативные источники, замена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Производство электроэнергии и тепла из газообразного ископаемого топлива, замена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35.11.9, 35.21.0, 35.30.2, 42.22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4"/>
          <w:p>
            <w:pPr>
              <w:spacing w:after="20"/>
              <w:ind w:left="20"/>
              <w:jc w:val="both"/>
            </w:pPr>
            <w:r>
              <w:rPr>
                <w:rFonts w:ascii="Times New Roman"/>
                <w:b w:val="false"/>
                <w:i w:val="false"/>
                <w:color w:val="000000"/>
                <w:sz w:val="20"/>
              </w:rPr>
              <w:t>
утилизация отработанного тепла, полученного при выработке электроэнергии на газообразном ископаемом топливе;</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для выработки тепла и электроэнергии с использованием природного газа (электростанция на природном газе, распределенная станция на природном газе, ТЭЦ, печи на природном газе), метана угольных пластов (CBM), метана угольных шахт (CMM), сланцевого газа, сжиженного газа (LPG), сжиженного природного газа (LNG), сжатого природного газа (CNG), диметилового эфира (DME) в качестве заменителя угля или дополнения к возобновляемым источникам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на электрическое отопление или отопление на сжиженном газе (LPG);</w:t>
            </w:r>
          </w:p>
          <w:p>
            <w:pPr>
              <w:spacing w:after="20"/>
              <w:ind w:left="20"/>
              <w:jc w:val="both"/>
            </w:pPr>
            <w:r>
              <w:rPr>
                <w:rFonts w:ascii="Times New Roman"/>
                <w:b w:val="false"/>
                <w:i w:val="false"/>
                <w:color w:val="000000"/>
                <w:sz w:val="20"/>
              </w:rPr>
              <w:t>
установки для выработки тепла с использованием отходящих газов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5"/>
          <w:p>
            <w:pPr>
              <w:spacing w:after="20"/>
              <w:ind w:left="20"/>
              <w:jc w:val="both"/>
            </w:pPr>
            <w:r>
              <w:rPr>
                <w:rFonts w:ascii="Times New Roman"/>
                <w:b w:val="false"/>
                <w:i w:val="false"/>
                <w:color w:val="000000"/>
                <w:sz w:val="20"/>
              </w:rPr>
              <w:t>
прямые выбросы парниковых газов в результате использования природного газа ниже 270 г CO2е / кВтч отпускаемой энергии или ежегодные прямые выбросы парниковых газов в результате деятельности не превышают в среднем 550 кг CO2 е / кВт мощности объекта за 20 лет;</w:t>
            </w:r>
          </w:p>
          <w:bookmarkEnd w:id="55"/>
          <w:p>
            <w:pPr>
              <w:spacing w:after="20"/>
              <w:ind w:left="20"/>
              <w:jc w:val="both"/>
            </w:pPr>
            <w:r>
              <w:rPr>
                <w:rFonts w:ascii="Times New Roman"/>
                <w:b w:val="false"/>
                <w:i w:val="false"/>
                <w:color w:val="000000"/>
                <w:sz w:val="20"/>
              </w:rPr>
              <w:t>
исключаются установки, использующие уголь в качестве исходного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Производство оборудования для атомной энергетики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атомных электростанций, материалы радиационной защиты, устройства безопасности и контроля; оборудование для производства по добыче урана, очистке и конверсии урана, обогащению урана и производству топливных элементов; обращение с выводимыми из эксплуатации ядерными объектами и радиоактивными отходами, изготовление соответствующего очистного оборудования и оборудования для комплексной утилизации урановых 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Строительство и эксплуатация атомных электростанций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6"/>
          <w:p>
            <w:pPr>
              <w:spacing w:after="20"/>
              <w:ind w:left="20"/>
              <w:jc w:val="both"/>
            </w:pPr>
            <w:r>
              <w:rPr>
                <w:rFonts w:ascii="Times New Roman"/>
                <w:b w:val="false"/>
                <w:i w:val="false"/>
                <w:color w:val="000000"/>
                <w:sz w:val="20"/>
              </w:rPr>
              <w:t>
строительство и эксплуатация объектов, выделяющих тепло от управляемого деления ядер и вырабатывающих электроэнергию с использованием ядерных технологий третьего, четвертого поколений и выше, с учетом обеспечения экологической безопасности;</w:t>
            </w:r>
          </w:p>
          <w:bookmarkEnd w:id="56"/>
          <w:p>
            <w:pPr>
              <w:spacing w:after="20"/>
              <w:ind w:left="20"/>
              <w:jc w:val="both"/>
            </w:pPr>
            <w:r>
              <w:rPr>
                <w:rFonts w:ascii="Times New Roman"/>
                <w:b w:val="false"/>
                <w:i w:val="false"/>
                <w:color w:val="000000"/>
                <w:sz w:val="20"/>
              </w:rPr>
              <w:t>
строительство инфраструктуры, обеспечивающей устойчивую и безопасную эксплуатацию атомных электростанций, в том числе по утилизации отходов – продуктов ядерной энергетической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7"/>
          <w:p>
            <w:pPr>
              <w:spacing w:after="20"/>
              <w:ind w:left="20"/>
              <w:jc w:val="both"/>
            </w:pPr>
            <w:r>
              <w:rPr>
                <w:rFonts w:ascii="Times New Roman"/>
                <w:b w:val="false"/>
                <w:i w:val="false"/>
                <w:color w:val="000000"/>
                <w:sz w:val="20"/>
              </w:rPr>
              <w:t>
наличие заключения ОВОС о допустимости реализации проекта;</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плана обращения как с нерадиоактивными, так и с радиоактивными отходами, обеспечивающим максимальное повторное использование или переработку таких отходов в конце срока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нерадиоактивные выбросы находятся в пределах уровней выбросов в рамках НДТ (BREF) (BAT-AEL или пороговых значений) для крупных топливосжигающих установок;</w:t>
            </w:r>
          </w:p>
          <w:p>
            <w:pPr>
              <w:spacing w:after="20"/>
              <w:ind w:left="20"/>
              <w:jc w:val="both"/>
            </w:pPr>
            <w:r>
              <w:rPr>
                <w:rFonts w:ascii="Times New Roman"/>
                <w:b w:val="false"/>
                <w:i w:val="false"/>
                <w:color w:val="000000"/>
                <w:sz w:val="20"/>
              </w:rPr>
              <w:t>
сооответствие национальным законодательным и нормативным правовым требованиям в области использовании атомной энергии, организации хранения и захоронения радиоактивных отходов и отработавшего ядерного топлива</w:t>
            </w:r>
          </w:p>
        </w:tc>
      </w:tr>
    </w:tbl>
    <w:bookmarkStart w:name="z127" w:id="58"/>
    <w:p>
      <w:pPr>
        <w:spacing w:after="0"/>
        <w:ind w:left="0"/>
        <w:jc w:val="both"/>
      </w:pPr>
      <w:r>
        <w:rPr>
          <w:rFonts w:ascii="Times New Roman"/>
          <w:b w:val="false"/>
          <w:i w:val="false"/>
          <w:color w:val="000000"/>
          <w:sz w:val="28"/>
        </w:rPr>
        <w:t>
      Примечания:</w:t>
      </w:r>
    </w:p>
    <w:bookmarkEnd w:id="58"/>
    <w:bookmarkStart w:name="z128" w:id="59"/>
    <w:p>
      <w:pPr>
        <w:spacing w:after="0"/>
        <w:ind w:left="0"/>
        <w:jc w:val="both"/>
      </w:pPr>
      <w:r>
        <w:rPr>
          <w:rFonts w:ascii="Times New Roman"/>
          <w:b w:val="false"/>
          <w:i w:val="false"/>
          <w:color w:val="000000"/>
          <w:sz w:val="28"/>
        </w:rPr>
        <w:t>
      * коды Общего классификатора видов экономической деятельности (ОКЭД), соответствующие определенному подсектору проектов, приведены с целью упрощения применения "зеленой" таксономии организациями, деятельность которых предусматривает учет классификации экономической деятельности. Следует принимать во внимание, что коды ОКЭД не являются самостоятельным критерием отнесения проектов к категории экологически устойчивых проектов, поскольку они могут включать в себя, помимо прочего, виды товаров, услуг и работ, не отражающих содержания соответствующей категории, сектора или подсектора таксономии, а также то, что соответствие установленным в таксономии пороговым критериям является условием отнесения проектов к "зеленым".</w:t>
      </w:r>
    </w:p>
    <w:bookmarkEnd w:id="59"/>
    <w:bookmarkStart w:name="z129" w:id="60"/>
    <w:p>
      <w:pPr>
        <w:spacing w:after="0"/>
        <w:ind w:left="0"/>
        <w:jc w:val="both"/>
      </w:pPr>
      <w:r>
        <w:rPr>
          <w:rFonts w:ascii="Times New Roman"/>
          <w:b w:val="false"/>
          <w:i w:val="false"/>
          <w:color w:val="000000"/>
          <w:sz w:val="28"/>
        </w:rPr>
        <w:t>
      Если проект или деятельность, рассматриваемые на предмет соответствия таксономии в целях классификации в качестве "зеленого" проекта, отвечают по своему существу и характеру применяемых технологий содержательной части таксономии (наименования категорий, секторов, подсекторов, приведенные примеры и пороговые критерии), то отсутствие в таксономии в рамках рассматриваемой категории соответствующего кода ОКЭД, под который предположительно подпадают данный проект или деятельность, не может служить основанием для отказа в его классификации как соответствующего таксономии.</w:t>
      </w:r>
    </w:p>
    <w:bookmarkEnd w:id="60"/>
    <w:bookmarkStart w:name="z130" w:id="61"/>
    <w:p>
      <w:pPr>
        <w:spacing w:after="0"/>
        <w:ind w:left="0"/>
        <w:jc w:val="both"/>
      </w:pPr>
      <w:r>
        <w:rPr>
          <w:rFonts w:ascii="Times New Roman"/>
          <w:b w:val="false"/>
          <w:i w:val="false"/>
          <w:color w:val="000000"/>
          <w:sz w:val="28"/>
        </w:rPr>
        <w:t>
      Указанная классификация ОКЭД применима к производителям товаров, работ и услуг и не распространяется на физических и юридических лиц, приобретающих соответствующие товары, работы и услуги.</w:t>
      </w:r>
    </w:p>
    <w:bookmarkEnd w:id="61"/>
    <w:bookmarkStart w:name="z131" w:id="62"/>
    <w:p>
      <w:pPr>
        <w:spacing w:after="0"/>
        <w:ind w:left="0"/>
        <w:jc w:val="both"/>
      </w:pPr>
      <w:r>
        <w:rPr>
          <w:rFonts w:ascii="Times New Roman"/>
          <w:b w:val="false"/>
          <w:i w:val="false"/>
          <w:color w:val="000000"/>
          <w:sz w:val="28"/>
        </w:rPr>
        <w:t>
      ** здесь и далее под НДТ подразумеваются прежде всего национальные справочники по НДТ, при отсутствии национального справочника по НДТ следует ссылаться на соответствующие справочники НДТ Европейского Союза (BREF);</w:t>
      </w:r>
    </w:p>
    <w:bookmarkEnd w:id="62"/>
    <w:bookmarkStart w:name="z132" w:id="63"/>
    <w:p>
      <w:pPr>
        <w:spacing w:after="0"/>
        <w:ind w:left="0"/>
        <w:jc w:val="both"/>
      </w:pPr>
      <w:r>
        <w:rPr>
          <w:rFonts w:ascii="Times New Roman"/>
          <w:b w:val="false"/>
          <w:i w:val="false"/>
          <w:color w:val="000000"/>
          <w:sz w:val="28"/>
        </w:rPr>
        <w:t>
      *** действует до 31 декабря 2035 года.</w:t>
      </w:r>
    </w:p>
    <w:bookmarkEnd w:id="63"/>
    <w:bookmarkStart w:name="z133" w:id="64"/>
    <w:p>
      <w:pPr>
        <w:spacing w:after="0"/>
        <w:ind w:left="0"/>
        <w:jc w:val="both"/>
      </w:pPr>
      <w:r>
        <w:rPr>
          <w:rFonts w:ascii="Times New Roman"/>
          <w:b w:val="false"/>
          <w:i w:val="false"/>
          <w:color w:val="000000"/>
          <w:sz w:val="28"/>
        </w:rPr>
        <w:t>
      Расшифровка аббревиатур:</w:t>
      </w:r>
    </w:p>
    <w:bookmarkEnd w:id="64"/>
    <w:p>
      <w:pPr>
        <w:spacing w:after="0"/>
        <w:ind w:left="0"/>
        <w:jc w:val="both"/>
      </w:pPr>
      <w:r>
        <w:rPr>
          <w:rFonts w:ascii="Times New Roman"/>
          <w:b w:val="false"/>
          <w:i w:val="false"/>
          <w:color w:val="000000"/>
          <w:sz w:val="28"/>
        </w:rPr>
        <w:t>
      ИКТ – информационные и коммуникационные технологии;</w:t>
      </w:r>
    </w:p>
    <w:p>
      <w:pPr>
        <w:spacing w:after="0"/>
        <w:ind w:left="0"/>
        <w:jc w:val="both"/>
      </w:pPr>
      <w:r>
        <w:rPr>
          <w:rFonts w:ascii="Times New Roman"/>
          <w:b w:val="false"/>
          <w:i w:val="false"/>
          <w:color w:val="000000"/>
          <w:sz w:val="28"/>
        </w:rPr>
        <w:t>
      НДТ – наилучшие доступные техники;</w:t>
      </w:r>
    </w:p>
    <w:p>
      <w:pPr>
        <w:spacing w:after="0"/>
        <w:ind w:left="0"/>
        <w:jc w:val="both"/>
      </w:pPr>
      <w:r>
        <w:rPr>
          <w:rFonts w:ascii="Times New Roman"/>
          <w:b w:val="false"/>
          <w:i w:val="false"/>
          <w:color w:val="000000"/>
          <w:sz w:val="28"/>
        </w:rPr>
        <w:t>
      ЕБРР – Европейский банк реконструкции и развития;</w:t>
      </w:r>
    </w:p>
    <w:p>
      <w:pPr>
        <w:spacing w:after="0"/>
        <w:ind w:left="0"/>
        <w:jc w:val="both"/>
      </w:pPr>
      <w:r>
        <w:rPr>
          <w:rFonts w:ascii="Times New Roman"/>
          <w:b w:val="false"/>
          <w:i w:val="false"/>
          <w:color w:val="000000"/>
          <w:sz w:val="28"/>
        </w:rPr>
        <w:t>
      ВИЭ – возобновляемые источники энергии;</w:t>
      </w:r>
    </w:p>
    <w:p>
      <w:pPr>
        <w:spacing w:after="0"/>
        <w:ind w:left="0"/>
        <w:jc w:val="both"/>
      </w:pPr>
      <w:r>
        <w:rPr>
          <w:rFonts w:ascii="Times New Roman"/>
          <w:b w:val="false"/>
          <w:i w:val="false"/>
          <w:color w:val="000000"/>
          <w:sz w:val="28"/>
        </w:rPr>
        <w:t>
      ИКАО – Международная организация гражданской авиации;</w:t>
      </w:r>
    </w:p>
    <w:p>
      <w:pPr>
        <w:spacing w:after="0"/>
        <w:ind w:left="0"/>
        <w:jc w:val="both"/>
      </w:pPr>
      <w:r>
        <w:rPr>
          <w:rFonts w:ascii="Times New Roman"/>
          <w:b w:val="false"/>
          <w:i w:val="false"/>
          <w:color w:val="000000"/>
          <w:sz w:val="28"/>
        </w:rPr>
        <w:t>
      ОВОС – Оценка воздействия на окружающую среду;</w:t>
      </w:r>
    </w:p>
    <w:p>
      <w:pPr>
        <w:spacing w:after="0"/>
        <w:ind w:left="0"/>
        <w:jc w:val="both"/>
      </w:pPr>
      <w:r>
        <w:rPr>
          <w:rFonts w:ascii="Times New Roman"/>
          <w:b w:val="false"/>
          <w:i w:val="false"/>
          <w:color w:val="000000"/>
          <w:sz w:val="28"/>
        </w:rPr>
        <w:t>
      СТ РК – национальный стандарт Республики Казахстан;</w:t>
      </w:r>
    </w:p>
    <w:p>
      <w:pPr>
        <w:spacing w:after="0"/>
        <w:ind w:left="0"/>
        <w:jc w:val="both"/>
      </w:pPr>
      <w:r>
        <w:rPr>
          <w:rFonts w:ascii="Times New Roman"/>
          <w:b w:val="false"/>
          <w:i w:val="false"/>
          <w:color w:val="000000"/>
          <w:sz w:val="28"/>
        </w:rPr>
        <w:t>
      ТЭР – топливно-энергетические ресурсы;</w:t>
      </w:r>
    </w:p>
    <w:p>
      <w:pPr>
        <w:spacing w:after="0"/>
        <w:ind w:left="0"/>
        <w:jc w:val="both"/>
      </w:pPr>
      <w:r>
        <w:rPr>
          <w:rFonts w:ascii="Times New Roman"/>
          <w:b w:val="false"/>
          <w:i w:val="false"/>
          <w:color w:val="000000"/>
          <w:sz w:val="28"/>
        </w:rPr>
        <w:t>
      BAT-AELs – сопутствующие уровни выбросов, приведенные в справочниках BREF;</w:t>
      </w:r>
    </w:p>
    <w:p>
      <w:pPr>
        <w:spacing w:after="0"/>
        <w:ind w:left="0"/>
        <w:jc w:val="both"/>
      </w:pPr>
      <w:r>
        <w:rPr>
          <w:rFonts w:ascii="Times New Roman"/>
          <w:b w:val="false"/>
          <w:i w:val="false"/>
          <w:color w:val="000000"/>
          <w:sz w:val="28"/>
        </w:rPr>
        <w:t>
      BREEAM, LEED, EDGE, DGNB – признанные международные системы рейтинговой оценки и стандарты экологической эффективности зданий и экологического строительства;</w:t>
      </w:r>
    </w:p>
    <w:p>
      <w:pPr>
        <w:spacing w:after="0"/>
        <w:ind w:left="0"/>
        <w:jc w:val="both"/>
      </w:pPr>
      <w:r>
        <w:rPr>
          <w:rFonts w:ascii="Times New Roman"/>
          <w:b w:val="false"/>
          <w:i w:val="false"/>
          <w:color w:val="000000"/>
          <w:sz w:val="28"/>
        </w:rPr>
        <w:t>
      BREF (Best Available Techniques Reference Document) – справочники по наилучшим доступным техникам Европейского Союза (представляют собой серию справочных документов, имеющих отношение к промышленной деятельности, условиям эксплуатации оборудования и нормам сбросов и выбросов загрязняющих веществ в окружающую среду);</w:t>
      </w:r>
    </w:p>
    <w:p>
      <w:pPr>
        <w:spacing w:after="0"/>
        <w:ind w:left="0"/>
        <w:jc w:val="both"/>
      </w:pPr>
      <w:r>
        <w:rPr>
          <w:rFonts w:ascii="Times New Roman"/>
          <w:b w:val="false"/>
          <w:i w:val="false"/>
          <w:color w:val="000000"/>
          <w:sz w:val="28"/>
        </w:rPr>
        <w:t>
      CO – монооксид углерода (угарный газ);</w:t>
      </w:r>
    </w:p>
    <w:p>
      <w:pPr>
        <w:spacing w:after="0"/>
        <w:ind w:left="0"/>
        <w:jc w:val="both"/>
      </w:pPr>
      <w:r>
        <w:rPr>
          <w:rFonts w:ascii="Times New Roman"/>
          <w:b w:val="false"/>
          <w:i w:val="false"/>
          <w:color w:val="000000"/>
          <w:sz w:val="28"/>
        </w:rPr>
        <w:t>
      CO2е (эквивалент CO2) – условная единица, используемая для оценки объемов выбросов парниковых газов (представляет собой объем выброса углекислого газа (CO2), имеющий радиационное воздействие, эквивалентное воздействию объема выброса идеально перемешанного парникового газа или смеси идеально перемешанных парниковых газов; при этом объем выброса каждого газа смеси умножают на соответствующий ему потенциал глобального потепления);</w:t>
      </w:r>
    </w:p>
    <w:p>
      <w:pPr>
        <w:spacing w:after="0"/>
        <w:ind w:left="0"/>
        <w:jc w:val="both"/>
      </w:pPr>
      <w:r>
        <w:rPr>
          <w:rFonts w:ascii="Times New Roman"/>
          <w:b w:val="false"/>
          <w:i w:val="false"/>
          <w:color w:val="000000"/>
          <w:sz w:val="28"/>
        </w:rPr>
        <w:t>
      CSP – технология концентрации солнечной энергии;</w:t>
      </w:r>
    </w:p>
    <w:p>
      <w:pPr>
        <w:spacing w:after="0"/>
        <w:ind w:left="0"/>
        <w:jc w:val="both"/>
      </w:pPr>
      <w:r>
        <w:rPr>
          <w:rFonts w:ascii="Times New Roman"/>
          <w:b w:val="false"/>
          <w:i w:val="false"/>
          <w:color w:val="000000"/>
          <w:sz w:val="28"/>
        </w:rPr>
        <w:t>
      NOx – оксиды азота NO и NO2;</w:t>
      </w:r>
    </w:p>
    <w:p>
      <w:pPr>
        <w:spacing w:after="0"/>
        <w:ind w:left="0"/>
        <w:jc w:val="both"/>
      </w:pPr>
      <w:r>
        <w:rPr>
          <w:rFonts w:ascii="Times New Roman"/>
          <w:b w:val="false"/>
          <w:i w:val="false"/>
          <w:color w:val="000000"/>
          <w:sz w:val="28"/>
        </w:rPr>
        <w:t>
      PV – модуль фотоэлектрических элементов (для производства солнечной энергии);</w:t>
      </w:r>
    </w:p>
    <w:p>
      <w:pPr>
        <w:spacing w:after="0"/>
        <w:ind w:left="0"/>
        <w:jc w:val="both"/>
      </w:pPr>
      <w:r>
        <w:rPr>
          <w:rFonts w:ascii="Times New Roman"/>
          <w:b w:val="false"/>
          <w:i w:val="false"/>
          <w:color w:val="000000"/>
          <w:sz w:val="28"/>
        </w:rPr>
        <w:t>
      REDD+ – (сокращение выбросов в результате облесения и деградации лесов) – это решение по смягчению последствий изменения климата, разработанное сторонами Рамочной конвенции Организации Объединенных Наций об изменении климата";</w:t>
      </w:r>
    </w:p>
    <w:p>
      <w:pPr>
        <w:spacing w:after="0"/>
        <w:ind w:left="0"/>
        <w:jc w:val="both"/>
      </w:pPr>
      <w:r>
        <w:rPr>
          <w:rFonts w:ascii="Times New Roman"/>
          <w:b w:val="false"/>
          <w:i w:val="false"/>
          <w:color w:val="000000"/>
          <w:sz w:val="28"/>
        </w:rPr>
        <w:t>
      SO2 – диоксид серы (IV);</w:t>
      </w:r>
    </w:p>
    <w:p>
      <w:pPr>
        <w:spacing w:after="0"/>
        <w:ind w:left="0"/>
        <w:jc w:val="both"/>
      </w:pPr>
      <w:r>
        <w:rPr>
          <w:rFonts w:ascii="Times New Roman"/>
          <w:b w:val="false"/>
          <w:i w:val="false"/>
          <w:color w:val="000000"/>
          <w:sz w:val="28"/>
        </w:rPr>
        <w:t>
      VERRA – сертификатор добровольной компенсации выбросов углерода";</w:t>
      </w:r>
    </w:p>
    <w:p>
      <w:pPr>
        <w:spacing w:after="0"/>
        <w:ind w:left="0"/>
        <w:jc w:val="both"/>
      </w:pPr>
      <w:r>
        <w:rPr>
          <w:rFonts w:ascii="Times New Roman"/>
          <w:b w:val="false"/>
          <w:i w:val="false"/>
          <w:color w:val="000000"/>
          <w:sz w:val="28"/>
        </w:rPr>
        <w:t>
      VFD drive – частотно-регулируемый привод.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