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7c01" w14:textId="5e37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ноября 2014 года № 1219 "Об утверждении Правил принятия, оценки, хранения, возврата, реализации, обращения взыскания на предмет залога и обращения залога в доход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2022 года № 221.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2014 года № 1219 "Об утверждении Правил принятия, оценки, хранения, возврата, реализации, обращения взыскания на предмет залога и обращения залога в доход государства"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принятия, оценки, хранения, возврата, реализации, обращения взыскания на предмет залога и обращения залога в доход государства,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1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драгоценностям относятся драгоценные металлы (золото, серебро, платина и металлы платиновой группы (палладий, иридий, родий, рутений и осмий) в любом состоянии и виде) и драгоценные камни (природные алмазы, изумруды, рубины, сапфиры и александриты, а также природный жемчуг в сыром (естественном) и обработанном виде). К драгоценным камням приравниваются уникальные янтарные образования.";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движимого имущества – деньги, ценности, транспортные средства и ценные бумаги.";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принятия залога";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залогодателем выступает юридическое лицо, орган проверяет его на предмет регистрации по учетам органов юстиции или Государственной корпорации "Правительство для граждан".";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необходимости документы, определяющие стоимость залогового имущества, могут выдаваться уполномоченными органами либо в порядке, установленном законодательством об оценочной деятельности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ценных бумаг определяется в соответствии с законодательством о рынке ценных бумаг на момент внесения залога.";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передаче в залог ценных бумаг залогодатель также представляет содержащиеся в Национальном реестре бизнес-идентификационных номеров сведения из налоговых органов о том, что эмитент ценных бумаг не находится в процессе ликвидации и не прекратил свою деятельность.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Протокол о принятии залога приобщается к материалам дела, а залогодателю вручается заверенная копия протокола. Если залогодателей несколько, то заверенная должностным лицом копия протокола вручается каждому из них.";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хранения залога";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ценные бумаги – в органе, который принял их в качестве залога, либо банках второго уровня;";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возврата залога";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пятый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Возврат залога в случаях, предусмотренных подпунктами 1), 3) и 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на основании постановления органа досудебного расследования или следственного судьи при отмене или изменении меры пресечения в виде залога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заявлению прилагаются: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подтверждающего личность залогодателя;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справки из банка второго уровня о наличии текущего счета;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приговора суда или постановления следственного судьи об отмене или изменении меры пресечения, постановления лица, осуществляющего досудебное расследование, об отмене или изменении меры пресечения, согласованного с прокурором, либо постановления о прекращении уголовного дела или уголовного преследования в отношении отдельных подозреваемых, утвержденного прокурором.";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реализации, обращения взыскания на предмет залога и обращения залога в доход государства".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