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5673c" w14:textId="28567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7 апреля 2015 года № 203 "Об утверждении Стратегии развития акционерного общества "Национальная компания "QazExpoCongress" на 2015 – 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апреля 2022 года № 252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2015 года № 203 "Об утверждении Стратегии развития акционерного общества "Национальная компания "QazExpoCongress" на 2015 – 2024 годы"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Плана развития акционерного общества "Национальная компания "QazExpoCongress" на 2015 – 2024 годы";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прилагаемый План развития акционерного общества "Национальная компания "QazExpoCongress" на 2015 – 2024 годы.";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Стратегии развития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акционерного общества "Национальная компания "QazExpoCongress" на 2015 – 2024 годы", утвержденной указанным постановлением: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текст в правом верхнем углу изложить в следующей редакции: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апреля 2015 года № 203</w:t>
            </w:r>
          </w:p>
        </w:tc>
      </w:tr>
    </w:tbl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"План развития акционерного общества "Национальная компания "QazExpoCongress" на 2015 – 2024 годы";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1 "Анализ текущего состояния компании":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1.1.1 "Анализ внешних политических, экономических, социальных и технологических факторов, воздействующих на деятельность Общества":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первую изложить в следующей редакции: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"Для анализа внешних факторов, воздействующих на деятельность Общества и перспективы реализации Плана развития Общества (далее – План развития), был проведен PEST-анализ по следующим направлениям: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политическое;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экономическое;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социальное;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технологическое.";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главу</w:t>
      </w:r>
      <w:r>
        <w:rPr>
          <w:rFonts w:ascii="Times New Roman"/>
          <w:b w:val="false"/>
          <w:i w:val="false"/>
          <w:color w:val="000000"/>
          <w:sz w:val="28"/>
        </w:rPr>
        <w:t xml:space="preserve"> "Экономические факторы" изложить в следующей редакции: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"Экономические факторы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Среди позитивных экономических факторов, которые содействуют реализации Плана развития и в перспективе открывают новые возможности для Общества, можно отметить следующие: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отсутствие делового центра в Казахстане и в целом Центральной Азии позволит Обществу стать центром притяжения иностранных и местных компаний;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 Главы государства диверсифицировать экономику страны и существенные темпы роста экономики в стране и городе Нур-Султане позитивно влияют на деловую активность центра и уровень жизни населения, что, в свою очередь, повышает возможность населения пользоваться услугами Общества. Согласно прогнозам The Economist Intelligence Unit, внутренний валовой продукт Республики Казахстан (далее – ВВП) будет расти в коридоре 2,7 % – 3,3 % в 2018 – 2022 годы, а инфляция упадет с 7,5 % до 5,4 % в 2022 году;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инвестиции в эффективность, в том числе инвестиции, направленные на энергоэффективность и повышение производительности труда, а также цели государства по снижению энергоемкости страны до 50 % до 2050 года, могут содействовать Обществу снизить расходы на коммунальные услуги;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отсутствие крупных площадок для проведения КВМ в городе Нур-Султане, а также наличие возможности сотрудничества Общества с крупными игроками в данной сфере повышают его потенциал как поставщика площадок для проведения мероприятий;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функционирование Евразийского экономического союза и интеграционный процесс в рамках Единого экономического пространства расширяют базовые рынки, способствуют повышению деловой активности города Нур-Султана и страны в целом, расширяют возможности проведения КВМ.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негативным экономическим факторам, которые повышают риски затруднения реализации Плана развития и несут прямое или косвенное негативное влияние на деятельность Общества, можно отнести следующие: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существенная зависимость экономики страны от нефти, также истощение запасов ископаемого топлива и изменчивые цены на нефть, которые могут негативно повлиять на экономическую ситуацию в стране, тем самым на спрос на услуги Общества (посещение музея, мероприятий, концертов и тому подобное);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существенная зависимость отраслей страны от поставок технологий, сырья и материалов из зарубежных стран, что повышает издержки Общества на строительные и реконструкционные процессы, внедрение новых технологий для 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управления объектами, повышение энергоэффективности, обновление контента Сферы "Нур-Алем" и тому подобное;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высокая стоимость энергоносителей, в частности альтернативных, что повышает себестоимость электроэнергии, выработанной с помощью альтернативных источников энергии, по сравнению с ископаемым топливом и повышает зависимость энергетического сектора и Общества от угля;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ограниченность внутреннего рынка сбыта, в частности по сдаче в аренду коммерческих площадей;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низкий уровень деловой активности в городе Нур-Султане по сравнению с другими столицами мира, который влечет низкую загруженность объектов Общества;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близкое расположение торгово-развлекательного центра MEGA Silk Way, что стимулирует снижение спроса на услуги арендаторов торговых площадок Общества;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сниженная арендная ставка для Astana Hub значительно снижает доходы Общества;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вероятность снижения арендной ставки или освобождение от арендной платы других резидентов.";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главу</w:t>
      </w:r>
      <w:r>
        <w:rPr>
          <w:rFonts w:ascii="Times New Roman"/>
          <w:b w:val="false"/>
          <w:i w:val="false"/>
          <w:color w:val="000000"/>
          <w:sz w:val="28"/>
        </w:rPr>
        <w:t xml:space="preserve"> "Социальные факторы" изложить в следующей редакции:</w:t>
      </w:r>
    </w:p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"Социальные факторы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Среди позитивных социальных факторов, которые содействуют реализации Плана развития и в перспективе открывают новые возможности для Общества, можно отметить следующие: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программы "Семь граней великой степи", которая направлена на модернизацию сознания народа и может стимулировать рост посещения музея и дополнительных мероприятий;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активное развитие Астанинской агломерации содействует повышению уровня жизни населения и развитию туризма, что, в свою очередь, повысит спрос на услуги Общества;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рост уровня образования, что стимулирует заинтересованность научными, интерактивными экспонатами и мероприятиями в Сфере "Нур-Алем";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рост демографии страны, в частности города Нур-Султана;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туризма.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негативным социальным факторам, которые замедляют рост Общества, можно отнести: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низкий уровень доходов населения, работающего в несырьевом секторе, которое доминирует в городе Нур-Султане;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невысокий уровень поддержки и осведомленности о тематике "энергии будущего" и инновациях населения страны, что снижает потенциал деятельности Сферы "Нур-Алем";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низкая посещаемость музеев и выставочных мероприятий;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низкий уровень развитости института пожертвования в сфере культуры, который негативно отражается на диверсификации структуры доходов Сферы "Нур-Алем";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риск сокращений и увольнений работников в случае остановки деятельности предприятий, который повлечет снижение доходов населения.";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главе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"Технологические факторы":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части первую и вторую изложить в следующей редакции: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"Среди позитивных технологических факторов, которые содействуют реализации Плана развития и в перспективе открывают новые возможности для Общества, можно отметить следующие: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быстрый рост высоких технологий в мире открывает новые возможности для обновления контента Сферы "Нур-Алем";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трансферта технологий облегчает Обществу использование и внедрение новых технологий;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сферы информационных технологий и рост доступа к программам информатизации позволяет Обществу повысить осведомленность населения о значимости и ценности деятельности Общества, в частности Сферы "Нур-Алем", и проведения КВМ;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появление современных высокоэффективных технологий для сбережения энергетических и водных ресурсов позволит Обществу сократить расходы на коммунальные услуги;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появление и внедрение высокоэффективных технологий и оборудования в производстве позволит сократить издержки в энергетическом секторе и секторе водоснабжения страны.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факторам, негативно влияющим на реализацию Плана развития, можно отнести следующие: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недостаточное количество высокотехнологичных компаний в стране, что сохраняет зависимость от поставок из зарубежных стран;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низкий уровень инженерных и конструкторских компетенций в стране негативно влияет на возможность создания новых высокотехнологических компаний и обслуживания высоких технологий;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низкий уровень инженерных и конструкторских институтов и школ негативно влияет на уровень инженерных и конструкторских компетенций;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невысокий уровень экологической безопасности процессов снижает возможности Общества придерживаться принципов "зеленой экономики".";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 3</w:t>
      </w:r>
      <w:r>
        <w:rPr>
          <w:rFonts w:ascii="Times New Roman"/>
          <w:b w:val="false"/>
          <w:i w:val="false"/>
          <w:color w:val="000000"/>
          <w:sz w:val="28"/>
        </w:rPr>
        <w:t xml:space="preserve"> "Стратегические направления деятельности, цели, ключевые показатели деятельности и их ожидаемые результаты": 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подразделе 3.5</w:t>
      </w:r>
      <w:r>
        <w:rPr>
          <w:rFonts w:ascii="Times New Roman"/>
          <w:b w:val="false"/>
          <w:i w:val="false"/>
          <w:color w:val="000000"/>
          <w:sz w:val="28"/>
        </w:rPr>
        <w:t xml:space="preserve"> "Устойчивое развитие Общества":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шестой изложить в следующей редакции: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"Развитие внутристрановой ценности и строгое соблюдение правил осуществления государственных закупок являются приоритетным аспектом развития бизнеса Общества. При необходимости Общество будет проводить тренинги и обучающие программы с целью развития рынка необходимых для Общества услуг.";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 4</w:t>
      </w:r>
      <w:r>
        <w:rPr>
          <w:rFonts w:ascii="Times New Roman"/>
          <w:b w:val="false"/>
          <w:i w:val="false"/>
          <w:color w:val="000000"/>
          <w:sz w:val="28"/>
        </w:rPr>
        <w:t xml:space="preserve"> "Система управления рисками":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подразделе 4.3</w:t>
      </w:r>
      <w:r>
        <w:rPr>
          <w:rFonts w:ascii="Times New Roman"/>
          <w:b w:val="false"/>
          <w:i w:val="false"/>
          <w:color w:val="000000"/>
          <w:sz w:val="28"/>
        </w:rPr>
        <w:t xml:space="preserve"> "Риски недостижения стратегических показателей":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первую изложить в следующей редакции: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"4.3. Риски недостижения стратегических показателей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целью успешной реализации Плана развития необходимо обеспечить достижение целевых стратегических показателей в рамках шести основных направлений деятельности: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функционирование Сферы "Нур-Алем" как символа нового делового центра и точки притяжения туристов: 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заполняемость Сферы – достижение целевого значения посещений;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дополнительный доход в структуре доходов Сферы;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управление объектами и имуществом, включая коммерциализацию сервисных услуг: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прибыльность деятельности по управлению коммерческой недвижимостью состоит из управления арендными ставками, обеспечения заполненности объектов и оптимизации расходов на содержание объектов;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КВМ и участие в международных мероприятиях: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прибыльность деятельности в рамках направления по КВМ состоит из управления и выбора наиболее прибыльных мероприятий;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реализация инвестиционных проектов: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успешное завершение инвестиционных проектов;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получение целевых денежных средств;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устойчивое развитие Общества: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социальной ответственности состоит из управления текучестью кадров и обеспечения максимального вовлечения персонала;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трансформация Общества состоит из перехода к целевой модели бизнес–процессов и организационной структуры, а также внедрения оптимизированной системы показателей эффективности деятельности;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операционной безубыточности путем обеспечения положительного EBITDA margin;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строительство и управление инфраструктурой центров торгово-экономического сотрудничества: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получение земельных участков;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и сдача в эксплуатацию объектов инфраструктуры.";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подразделе 4.4</w:t>
      </w:r>
      <w:r>
        <w:rPr>
          <w:rFonts w:ascii="Times New Roman"/>
          <w:b w:val="false"/>
          <w:i w:val="false"/>
          <w:color w:val="000000"/>
          <w:sz w:val="28"/>
        </w:rPr>
        <w:t xml:space="preserve"> "Риски невыполнения действий по реализации стратегических инициатив":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первую изложить в следующей редакции: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рамках актуализированного Плана развития можно выделить шесть ключевых направлений деятельности: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функционирования Сферы "Нур-Алем" как символа нового делового центра и точки притяжения туристов;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объектами и имуществом, включая коммерциализацию сервисных услуг;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КВМ и участие в международных мероприятиях;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инвестиционных проектов;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устойчивое развитие Общества;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и управление инфраструктурой центров торгово-экономического сотрудничества.";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текст в правом верхнем углу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Стратегии развития акционерного общества "Национальная компания "QazExpoCongress" на 2015 – 2024 годы" изложить в следующей редакции: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9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развития акционерного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общества "Национальная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компания "QazExpoCongress"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2015 – 2024 годы"</w:t>
            </w:r>
          </w:p>
        </w:tc>
      </w:tr>
    </w:tbl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текст в правом верхнем углу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Стратегии развития акционерного общества "Национальная компания "QazExpoCongress" на 2015 – 2024 годы" изложить в следующей редакции: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0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развития акционерного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общества "Национальная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компания "QazExpoCongress"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2015 – 2024 годы"</w:t>
            </w:r>
          </w:p>
        </w:tc>
      </w:tr>
    </w:tbl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текст в правом верхнем углу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Стратегии развития акционерного общества "Национальная компания "QazExpoCongress" на 2015 – 2024 годы" изложить в следующей редакции: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0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развития акционерного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общества "Национальная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компания "QazExpoCongress"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2015 – 2024 годы"</w:t>
            </w:r>
          </w:p>
        </w:tc>
      </w:tr>
    </w:tbl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текст в правом верхнем углу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Стратегии развития акционерного общества "Национальная компания "QazExpoCongress" на 2015 – 2024 годы" изложить в следующей редакции: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0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развития акционерного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общества "Национальная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компания "QazExpoCongress"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2015 – 2024 годы"</w:t>
            </w:r>
          </w:p>
        </w:tc>
      </w:tr>
    </w:tbl>
    <w:bookmarkStart w:name="z11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08"/>
    <w:bookmarkStart w:name="z12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Стратегии развития акционерного общества "Национальная компания "QazExpoCongress" на 2015 – 2024 годы:</w:t>
      </w:r>
    </w:p>
    <w:bookmarkEnd w:id="109"/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текст в правом верхнем углу изложить в следующей редакции: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развития акционерного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общества "Национальная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компания "QazExpoCongress"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2015 – 2024 годы"</w:t>
            </w:r>
          </w:p>
        </w:tc>
      </w:tr>
    </w:tbl>
    <w:bookmarkStart w:name="z12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"; </w:t>
      </w:r>
    </w:p>
    <w:bookmarkEnd w:id="112"/>
    <w:bookmarkStart w:name="z12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первую изложить в следующей редакции:</w:t>
      </w:r>
    </w:p>
    <w:bookmarkEnd w:id="113"/>
    <w:bookmarkStart w:name="z12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период с 2015 года по 2018 год у Общества были определены 2 стратегических направления:</w:t>
      </w:r>
    </w:p>
    <w:bookmarkEnd w:id="114"/>
    <w:bookmarkStart w:name="z12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Стратегическое направление 1. Подготовка и проведение международной специализированной выставки ЭКСПО-2017 и создание инновационной инфраструктуры для развития технологий "Энергии будущего"</w:t>
      </w:r>
    </w:p>
    <w:bookmarkEnd w:id="115"/>
    <w:bookmarkStart w:name="z12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Стратегическое направление 2. Использование наследия ЭКСПО-2017 </w:t>
      </w:r>
    </w:p>
    <w:bookmarkEnd w:id="116"/>
    <w:bookmarkStart w:name="z12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карта КПД Плана развития на данный период (2015 – 2018 годы) представлена в таблице 1."; </w:t>
      </w:r>
    </w:p>
    <w:bookmarkEnd w:id="117"/>
    <w:bookmarkStart w:name="z13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 xml:space="preserve"> "Карта КПД для стратегических целей предыдущей версии Стратегии развития":</w:t>
      </w:r>
    </w:p>
    <w:bookmarkEnd w:id="118"/>
    <w:bookmarkStart w:name="z13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119"/>
    <w:bookmarkStart w:name="z13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"Таблица 1. Карта КПД для стратегических целей предыдущей версии Плана развития";</w:t>
      </w:r>
    </w:p>
    <w:bookmarkEnd w:id="120"/>
    <w:bookmarkStart w:name="z13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"Цели Стратегии развития Компании" изложить в следующей редакции:</w:t>
      </w:r>
    </w:p>
    <w:bookmarkEnd w:id="121"/>
    <w:bookmarkStart w:name="z13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"Цели Плана развития Компании";</w:t>
      </w:r>
    </w:p>
    <w:bookmarkEnd w:id="122"/>
    <w:bookmarkStart w:name="z13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"Задачи Стратегии развития Компании" изложить в следующей редакции:</w:t>
      </w:r>
    </w:p>
    <w:bookmarkEnd w:id="123"/>
    <w:bookmarkStart w:name="z13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"Задачи Плана развития Компании";</w:t>
      </w:r>
    </w:p>
    <w:bookmarkEnd w:id="124"/>
    <w:bookmarkStart w:name="z13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"Ключевые показатели Стратегии развития Компании (количественные или качественные)" изложить в следующей редакции:</w:t>
      </w:r>
    </w:p>
    <w:bookmarkEnd w:id="125"/>
    <w:bookmarkStart w:name="z13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"Ключевые показатели Плана развития Компании (количественные или качественные";</w:t>
      </w:r>
    </w:p>
    <w:bookmarkEnd w:id="126"/>
    <w:bookmarkStart w:name="z13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части второй изложить в следующей редакции:</w:t>
      </w:r>
    </w:p>
    <w:bookmarkEnd w:id="127"/>
    <w:bookmarkStart w:name="z14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рамках реализации данных КПД Плана развития были достигнуты следующие результаты:";</w:t>
      </w:r>
    </w:p>
    <w:bookmarkEnd w:id="128"/>
    <w:bookmarkStart w:name="z14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таблице 3 "Декомпозиция ключевых национальных индикаторов в стратегической карте АО "НК "QazЕxpoCongress":</w:t>
      </w:r>
    </w:p>
    <w:bookmarkEnd w:id="129"/>
    <w:bookmarkStart w:name="z14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"Стратегия развития АО "НК "QazExpoCongress" на 2015 – 2024 годы" изложить в следующей редакции:</w:t>
      </w:r>
    </w:p>
    <w:bookmarkEnd w:id="130"/>
    <w:bookmarkStart w:name="z14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"План развития АО "НК "QazExpoCongress" на 2015 – 2024 годы";</w:t>
      </w:r>
    </w:p>
    <w:bookmarkEnd w:id="131"/>
    <w:bookmarkStart w:name="z14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текст в правом верхнем углу </w:t>
      </w:r>
      <w:r>
        <w:rPr>
          <w:rFonts w:ascii="Times New Roman"/>
          <w:b w:val="false"/>
          <w:i w:val="false"/>
          <w:color w:val="000000"/>
          <w:sz w:val="28"/>
        </w:rPr>
        <w:t>приложения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Стратегии развития акционерного общества "Национальная компания "QazExpoCongress" на 2015 – 2024 годы" изложить в следующей редакции: </w:t>
      </w:r>
    </w:p>
    <w:bookmarkEnd w:id="132"/>
    <w:bookmarkStart w:name="z14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развития акционерного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общества "Национальная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компания "QazExpoCongress"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2015 – 2024 годы"</w:t>
            </w:r>
          </w:p>
        </w:tc>
      </w:tr>
    </w:tbl>
    <w:bookmarkStart w:name="z14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134"/>
    <w:bookmarkStart w:name="z14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1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