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3943" w14:textId="f523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действий по реализации Указа Президента Республики Казахстан от 13 апреля 2022 года № 872 "О мерах по дебюрократизации деятельности государственного аппарата"</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2022 года № 274.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Указа Президента Республики Казахстан от 13 апреля 2022 года № 872 "О мерах по дебюрократизации деятельности государственного аппарата"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действий по реализации Указа Президента Республики Казахстан от 13 апреля 2022 года № 872 "О мерах по дебюрократизации деятельности государственного аппарата" (далее - План действий).</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ответственным за исполнение Плана действий, принять меры по его реализации.</w:t>
      </w:r>
    </w:p>
    <w:bookmarkEnd w:id="2"/>
    <w:bookmarkStart w:name="z6" w:id="3"/>
    <w:p>
      <w:pPr>
        <w:spacing w:after="0"/>
        <w:ind w:left="0"/>
        <w:jc w:val="both"/>
      </w:pPr>
      <w:r>
        <w:rPr>
          <w:rFonts w:ascii="Times New Roman"/>
          <w:b w:val="false"/>
          <w:i w:val="false"/>
          <w:color w:val="000000"/>
          <w:sz w:val="28"/>
        </w:rPr>
        <w:t>
      3. Офису по мониторингу и реализации национальных проектов обеспечить утверждение скрам-графика и его техническое сопровождение.</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Аппарат Правительства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2022 года № 274</w:t>
            </w:r>
          </w:p>
        </w:tc>
      </w:tr>
    </w:tbl>
    <w:bookmarkStart w:name="z11" w:id="6"/>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6"/>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17.03.2023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поручения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Срок</w:t>
            </w:r>
          </w:p>
          <w:p>
            <w:pPr>
              <w:spacing w:after="20"/>
              <w:ind w:left="20"/>
              <w:jc w:val="both"/>
            </w:pPr>
          </w:p>
          <w:p>
            <w:pPr>
              <w:spacing w:after="20"/>
              <w:ind w:left="20"/>
              <w:jc w:val="both"/>
            </w:pPr>
            <w:r>
              <w:rPr>
                <w:rFonts w:ascii="Times New Roman"/>
                <w:b/>
                <w:i w:val="false"/>
                <w:color w:val="000000"/>
                <w:sz w:val="20"/>
              </w:rPr>
              <w:t>
исполнения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Форма</w:t>
            </w:r>
          </w:p>
          <w:p>
            <w:pPr>
              <w:spacing w:after="20"/>
              <w:ind w:left="20"/>
              <w:jc w:val="both"/>
            </w:pPr>
          </w:p>
          <w:p>
            <w:pPr>
              <w:spacing w:after="20"/>
              <w:ind w:left="20"/>
              <w:jc w:val="both"/>
            </w:pPr>
            <w:r>
              <w:rPr>
                <w:rFonts w:ascii="Times New Roman"/>
                <w:b/>
                <w:i w:val="false"/>
                <w:color w:val="000000"/>
                <w:sz w:val="20"/>
              </w:rPr>
              <w:t>
завершения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Конечный</w:t>
            </w:r>
          </w:p>
          <w:p>
            <w:pPr>
              <w:spacing w:after="20"/>
              <w:ind w:left="20"/>
              <w:jc w:val="both"/>
            </w:pPr>
          </w:p>
          <w:p>
            <w:pPr>
              <w:spacing w:after="20"/>
              <w:ind w:left="20"/>
              <w:jc w:val="both"/>
            </w:pPr>
            <w:r>
              <w:rPr>
                <w:rFonts w:ascii="Times New Roman"/>
                <w:b/>
                <w:i w:val="false"/>
                <w:color w:val="000000"/>
                <w:sz w:val="20"/>
              </w:rPr>
              <w:t>
результат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Ответственный</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государственный</w:t>
            </w:r>
          </w:p>
          <w:p>
            <w:pPr>
              <w:spacing w:after="20"/>
              <w:ind w:left="20"/>
              <w:jc w:val="both"/>
            </w:pPr>
            <w:r>
              <w:rPr>
                <w:rFonts w:ascii="Times New Roman"/>
                <w:b/>
                <w:i w:val="false"/>
                <w:color w:val="000000"/>
                <w:sz w:val="20"/>
              </w:rPr>
              <w:t>
орган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государственным органам права принятия нормативных правовых актов в целях реализации возложенных задач без излишней (чрезмерной) конкретизации на законодательном уровне компетенций, функций и полномочий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Конституционный Совет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принятия нормативных правовых актов в целях реализации возложенных задач без излишней (чрезмерной) конкретизации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(Мусин К.С.), заинтересованные государственные органы в установленном порядке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осуществления проектного управления, утвержденным постановлением Правительства Республики Казахстан от 31 мая 2021 года № 358 (далее - Правила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особого порядка принятия нормативных правовых актов, в том числе без их государственной регистрации, для оперативного реагирования на актуальные вызовы, форс-мажорные обстоятельства и кризисные ситуации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ноябрь 2022 года</w:t>
            </w:r>
          </w:p>
          <w:bookmarkEnd w:id="7"/>
          <w:p>
            <w:pPr>
              <w:spacing w:after="20"/>
              <w:ind w:left="20"/>
              <w:jc w:val="both"/>
            </w:pPr>
            <w:r>
              <w:rPr>
                <w:rFonts w:ascii="Times New Roman"/>
                <w:b w:val="false"/>
                <w:i w:val="false"/>
                <w:color w:val="000000"/>
                <w:sz w:val="20"/>
              </w:rPr>
              <w:t>
декабрь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подзаконные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особый порядок оперативного реагирования на актуальные вызовы, форс-мажорные обстоятельства и кризисные ситуации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(Мусин К.С.), АСГТР (по согласованию), АДГС (по согласованию), ГП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комплексный реинжиниринг бюджетного и нормотворческого процессов с общим сокращением сроков и этапов в два 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(утвержденные поправки в Бюджетный Кодекс и Закон "О правовых актах" и другие)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 два раза общих сроков и этапов бюджетного и нормотворческого процессов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(Куантыров А.С.), МЮ (Мусин К.С.), МФ, МЦРИАП, АСГТР (по согласованию), РГП на ПХВ "Центр поддержки цифрового правительства"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уполномоченный орган в сфере информатизации ответственным за координацию цифровой трансформации и реинжиниринга бизнес-процессов в центральных и местных государственных органах, а также за принятие решений по вопросам интеграции государственных объектов информатизации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постановление</w:t>
            </w:r>
          </w:p>
          <w:bookmarkEnd w:id="8"/>
          <w:p>
            <w:pPr>
              <w:spacing w:after="20"/>
              <w:ind w:left="20"/>
              <w:jc w:val="both"/>
            </w:pPr>
            <w:r>
              <w:rPr>
                <w:rFonts w:ascii="Times New Roman"/>
                <w:b w:val="false"/>
                <w:i w:val="false"/>
                <w:color w:val="000000"/>
                <w:sz w:val="20"/>
              </w:rPr>
              <w:t>
Правительства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наделение соответствующими</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полномочиями</w:t>
            </w:r>
          </w:p>
          <w:p>
            <w:pPr>
              <w:spacing w:after="20"/>
              <w:ind w:left="20"/>
              <w:jc w:val="both"/>
            </w:pPr>
            <w:r>
              <w:rPr>
                <w:rFonts w:ascii="Times New Roman"/>
                <w:b w:val="false"/>
                <w:i w:val="false"/>
                <w:color w:val="000000"/>
                <w:sz w:val="20"/>
              </w:rPr>
              <w:t>
МЦРИАП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МНЭ, МЮ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внутреннего и межведомственного взаимодействия государственных органов определить необходимость использования информации, размещенной в государственных объектах информатизации соответствующих государственных органов, без дополнительного подтверждения достоверности, аутентичности и актуальности сведений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июня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отчетности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МНЭ, МЮ, АСГТР (по согласованию) и заинтересованные государственные органы в установленном порядке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возложить всю полноту ответственности за достоверность и актуальность размещаемых в государственных объектах информатизации сведений и за издержки, связанные с использованием недостоверных сведений, на руководителей соответствующих государственных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и актуальность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МНЭ, МЮ, АСГТР (по согласованию) и заинтересованные государственные органы в установленном порядке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систематизировать все виды отчетов и показателей (отраслевые данные) на базе государственной информационно-аналитической системы "Smart Data Ukimet" и иных государственных объектах информатизации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всех отчетов Администрации Президента и Правительства на базе государственной информационно-аналитической системы "Smart Data Ukimet" и иных государственных объектах информатизации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всех видов отчетов и показателей (отраслевые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ЦИО, акимы областей, городов Нур-Султана, Алматы, Шымкента (Первые руководители центральных и местных исполнительных органов), АСГТР (по согласованию), АДГС (по согласованию), АЗРК (по согласованию), АПК (по согласованию), АФМ (по согласованию), АРРФР (по согласованию), НБ (по согласованию), ГП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запретить государственным органам запрашивать и передавать сведения, доступные в государственной информационно-аналитической системе "Smart Data Ukimet" и на иных государственных объектах информатизации, а также отвечать на такие запросы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июня 2022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(порядок работы с реестром отчетности, а также порядок работы с уникальными запросами)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излишнего документооборота, переход на работу "Smart Data Ukimet"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АСПР (по согласованию), АДГС (по согласованию), АЗРК (по согласованию), АПК (по согласованию), АФМ (по согласованию), АРРФР (по согласованию), НБ (по согласованию), ВС (по согласованию), ЦИК (по согласованию), КНБ (по согласованию), СГО (по согласованию), акимы областей, городов Нур-Султана, Алматы, Шымкента, заинтересованные государственные органы в установленном порядке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сплошную ревизию действующих контрольных поручений Премьер-Министра Республики Казахстан, заместителей Премьер-Министра Республики Казахстан и руководства Канцелярии Премьер- Министра Республики Казахстан на предмет их дублирования и актуальности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июня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в Общий отдел Администрации Президента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количества поручений и минимизация дополнительных поручений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(Жакенов 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сокращение в два раза количества консультативно-совещательных органов при Правительстве, центральных и местных исполнительных органах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июня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приказы государственных органов, акты местных исполнительных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в два раза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ЦИО (Первые руководители центральных и местных исполнительных органов), АСПР (по согласованию), АДГС (по согласованию), АЗРК (по согласованию), АПК (по согласованию), АФМ (по согласованию), АРРФР (по согласованию), НБ (по согласованию), акимы областей, городов Нур-Султана, Алматы, Шымкента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в установленные сроки разместить на сайтах:</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-Правительства реестр консультативносовещательных органов при Правительстве:</w:t>
            </w:r>
          </w:p>
          <w:p>
            <w:pPr>
              <w:spacing w:after="20"/>
              <w:ind w:left="20"/>
              <w:jc w:val="both"/>
            </w:pPr>
            <w:r>
              <w:rPr>
                <w:rFonts w:ascii="Times New Roman"/>
                <w:b w:val="false"/>
                <w:i w:val="false"/>
                <w:color w:val="000000"/>
                <w:sz w:val="20"/>
              </w:rPr>
              <w:t>
- центральных и местных исполнительны х органов реестр консультативносовещательных органов при центральных и местных исполнительны х органах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пересмотреть подходы к формированию реестра государственных услуг, включив в него наиболее востребованные гражданами и бизнесом жизненные и деловые ситуации, обеспечив их реинжиниринг и автоматизацию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июня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государственных услуг, а также их стандартизация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ЦИО (первые руководители)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возможность использования доступных онлайн- сервисов для проведения открытых совещаний в целях коммуникаций с гражданами и оперативного межведомственного взаимодействия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июня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постановление</w:t>
            </w:r>
          </w:p>
          <w:bookmarkEnd w:id="11"/>
          <w:p>
            <w:pPr>
              <w:spacing w:after="20"/>
              <w:ind w:left="20"/>
              <w:jc w:val="both"/>
            </w:pPr>
            <w:r>
              <w:rPr>
                <w:rFonts w:ascii="Times New Roman"/>
                <w:b w:val="false"/>
                <w:i w:val="false"/>
                <w:color w:val="000000"/>
                <w:sz w:val="20"/>
              </w:rPr>
              <w:t>
Правительства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процессов коммуникаций с гражданами, представителям и средств массовой информации, неправительственных организаций и другими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МФ, МЮ, МНЭ, АСПР (по согласованию), АДГС (по согласованию), КНБ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пересмотреть Регламент Правительства и другие нормативные правовые акты, в том числе обеспечив:</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отмену внесения документов в бумажном виде, их визирования и полистного парафирования, за исключением законодательных актов, актов Президента, а также документов, имеющих грифы секретности и пометку "для служебного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порядка "согласование по умолчанию" проектов нормативных правовых актов, заключений Правительства на поправки депутатов Парламента и инициированные ими законопроекты и иных документов, требующих согласования, если ответ по ним не предоставлен в установленный срок;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отмену запрета на внесение в Канцелярию Премьер-Министра проектов нормативных правовых актов с замечаниями;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обязательность рассмотрения разногласий между государственными органами при согласовании проектов нормативных правовых актов и принятия по ним на уровне Премьер-Министра или его заместителей конкретных решений по существу вопроса в течение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запрета на внесение в Администрацию Президента документов по текущим вопросам деятельности, относящимся к исключительной компетенции Правительства и других государственных органов, а также предложений государственных органов, требующих решения вопроса по существу, без предварительной проработки с заинтересованными государственными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запрета на запросы и поручения со сроком исполнения менее двух рабочих дней, за исключением прямых поручений Президента, Премьер-Министра, Государственного секретаря, Руководителя Администрации Президента и Секретаря Совета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сокращение сроков рассмотрения документов в Канцелярии Премьер-Министра в два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запрета на направление проектов актов и протоколов совещаний, запросов и поручений в государственные органы, в компетенцию которых прямо не входит их рассмотрение, с предоставлением возможности возврата таких документов без рассмотрения;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делегирования первыми руководителями государственных органов отдельным руководителям структурных подразделений государственных органов права подписи документов организационно-технического характера, а также участия и выражения позиции государственного органа в межведомственных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наделение курирующих заместителей первых руководителей государственных органов правом согласования проектов нормативных правовых актов по решению первых руководителей;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 требования по повторному подписанию первым руководителем государственного органа и внесению в Канцелярию Премьер-Министра корреспонденции, ранее внесенной за подписью исполняющего обязанности первого руководителя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запрета на пересогласование проекта нормативного правового акта в связи с назначением нового первого руководителя центрального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служебной электронной почты в качестве официального средства коммуникаций и обмена информацией для центральных и местных исполнительных органов, за исключением переписки с органами законодательной и судебной ветвей власти, Администрацией Президента Республики Казахстан, а также документов, относящихся к Национальному архивному фонду;</w:t>
            </w:r>
          </w:p>
          <w:p>
            <w:pPr>
              <w:spacing w:after="20"/>
              <w:ind w:left="20"/>
              <w:jc w:val="both"/>
            </w:pPr>
            <w:r>
              <w:rPr>
                <w:rFonts w:ascii="Times New Roman"/>
                <w:b w:val="false"/>
                <w:i w:val="false"/>
                <w:color w:val="000000"/>
                <w:sz w:val="20"/>
              </w:rPr>
              <w:t>
сокращение срока подписания протоколов заседаний Правительства и консультативно-совещательных органов при Правительстве, а также совещаний под руководством заместителей Премьер-Министра и руководства Канцелярии Премьер-Министра до трех дней, исключив необходимость их согласования с участвовавшими государственными органами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июня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постановления</w:t>
            </w:r>
          </w:p>
          <w:bookmarkEnd w:id="13"/>
          <w:p>
            <w:pPr>
              <w:spacing w:after="20"/>
              <w:ind w:left="20"/>
              <w:jc w:val="both"/>
            </w:pPr>
            <w:r>
              <w:rPr>
                <w:rFonts w:ascii="Times New Roman"/>
                <w:b w:val="false"/>
                <w:i w:val="false"/>
                <w:color w:val="000000"/>
                <w:sz w:val="20"/>
              </w:rPr>
              <w:t>
Правительства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искоренение излишних и архаичных процессов и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(Жакенов 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упрощенный механизм корректировки сведений о гражданах и юридических лицах, содержащихся в государственных объектах информатизации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для граждан и юридических 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корректировки сведений о гражданах и юридических лицах на портале "электронного правительства"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ЦГО, АСПР (по согласованию), АДГС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сокращение бюджетных расходов на канцелярскую бумагу и сопряженные с ней товары в три 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июня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приказы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государственных</w:t>
            </w:r>
          </w:p>
          <w:p>
            <w:pPr>
              <w:spacing w:after="20"/>
              <w:ind w:left="20"/>
              <w:jc w:val="both"/>
            </w:pPr>
            <w:r>
              <w:rPr>
                <w:rFonts w:ascii="Times New Roman"/>
                <w:b w:val="false"/>
                <w:i w:val="false"/>
                <w:color w:val="000000"/>
                <w:sz w:val="20"/>
              </w:rPr>
              <w:t>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бюджетных расходов в три раза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(Султангазиев М.Е.), ЦГО, АДГС (по согласованию), акиматы областей, городов Нур-Султана, Алматы, Шымкента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оптимизировать перечень типовых документов, образующихся в деятельности государственных и негосударственных организаций, с указанием срока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видов документов и сроков их 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(Абаев Д.А.), МЦРИАП (Мусин Б.Б.), заинтересованные государственные органы в установленном порядке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группа с участием представителей АП, КПМ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сокращение срока создания и (или) развития государственных объектов информатизации до шести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
          <w:p>
            <w:pPr>
              <w:spacing w:after="20"/>
              <w:ind w:left="20"/>
              <w:jc w:val="both"/>
            </w:pPr>
            <w:r>
              <w:rPr>
                <w:rFonts w:ascii="Times New Roman"/>
                <w:b w:val="false"/>
                <w:i w:val="false"/>
                <w:color w:val="000000"/>
                <w:sz w:val="20"/>
              </w:rPr>
              <w:t>
ноябрь 2022 года</w:t>
            </w:r>
          </w:p>
          <w:bookmarkEnd w:id="15"/>
          <w:p>
            <w:pPr>
              <w:spacing w:after="20"/>
              <w:ind w:left="20"/>
              <w:jc w:val="both"/>
            </w:pPr>
            <w:r>
              <w:rPr>
                <w:rFonts w:ascii="Times New Roman"/>
                <w:b w:val="false"/>
                <w:i w:val="false"/>
                <w:color w:val="000000"/>
                <w:sz w:val="20"/>
              </w:rPr>
              <w:t>
декабрь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подзаконные акты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особый порядок по созданию цифровых сервисов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МФ, МЮ, МНЭ, АСПР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четкой регламентации оснований назначения и проведения совещаний, обеспечив в том числе внедрение единого цифрового решения по планированию и систематизации совещаний для всех государственных органов и организаций, а также приоритетность проведения совещаний через видеоконференцсвязь и доступные онлайн-сервисы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30 мая 2022 года</w:t>
            </w:r>
          </w:p>
          <w:bookmarkEnd w:id="16"/>
          <w:p>
            <w:pPr>
              <w:spacing w:after="20"/>
              <w:ind w:left="20"/>
              <w:jc w:val="both"/>
            </w:pPr>
            <w:r>
              <w:rPr>
                <w:rFonts w:ascii="Times New Roman"/>
                <w:b w:val="false"/>
                <w:i w:val="false"/>
                <w:color w:val="000000"/>
                <w:sz w:val="20"/>
              </w:rPr>
              <w:t>
30 декабря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постановление</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
модуль "График совещаний" в информационной системе "Централизованное рабочее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внедрение</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цифрового</w:t>
            </w:r>
          </w:p>
          <w:p>
            <w:pPr>
              <w:spacing w:after="20"/>
              <w:ind w:left="20"/>
              <w:jc w:val="both"/>
            </w:pPr>
            <w:r>
              <w:rPr>
                <w:rFonts w:ascii="Times New Roman"/>
                <w:b w:val="false"/>
                <w:i w:val="false"/>
                <w:color w:val="000000"/>
                <w:sz w:val="20"/>
              </w:rPr>
              <w:t>
сервиса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ЦИО, АДГС (по согласованию), акиматы областей, городов Нур-Султан, Алматы, Шымкента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автоматизацию процедуры направления уведомления о размещении проектов нормативных правовых актов на интернет-портале "Открытые НПА" в Национальную палату предпринимателей Республики Казахстан, аккредитованные объединения субъектов частного предпринимательства, общественные советы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модификации на портале "Открытые НПА" для обеспечения автоматизации процедуры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функции автоматической рассылки уведомлений на портале "Открытые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упразднить институт меморандумов центральных и местных исполнительных государственных органов с Администрацией Президента и Правительством, используя в качестве показателей эффективности их работы декомпозированные индикаторы, закрепленные в Карте стратегических показателей Национального плана развития Республики Казахстан, а также практику заключения меморандумов между Премьер- Министром и Президентом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практики заключения меморандума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(Куантыров А.С.), АСГТР (по согласованию), МЮ, ЦИО, акиматы областей, городов Нур-Султан, Алматы, Шымкента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политических служащих центральных государственных органов и административных служащих корпуса "А" устройствами для дистанционной работы с государственными объектами информатизации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устройствами для дистанционной работы политических служащих и административных служащих корпуса "А" центральных государственных органов, подключенных к облачным сервисам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 и мобильность руководства государственных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МФ, ЦГО, УДП (по согласованию), АДГС (по согласованию), КНБ (по согласованию), акиматы областей, городов Нур-Султана, Алматы, Шымкента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полную цифровизацию процесса отбора и приема на государственную службу на базе информационной системы "Е-кызмет", а также ее внедрение и масштабирование во всех государственных органах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модернизированной ИИС "Е-кызмет" во всех государственных органах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и прием в цифровом формате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(Жазыкбаев Д.М, по согласованию), ЦГО, акиматы областей, городов Астаны, Алматы, Шымкента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переход государственного аппарата к единому централизованному облачному документообороту с цифровыми решениями по оптимизации прохождения служебной корреспонденции с возможностью совместной работы над одним проектом документа, исключению дублирования поручений, оперативному формированию аналитических отчетов по документообороту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единого централизованного облачного документооборота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промышленную эксплуатацию информационной системы по единому централизованному облачному документообороту и подключение всех государственных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ЦГО, АДГС (по согласованию), АСПР (по согласованию), АФМ (по согласованию), КНБ (по согласованию), ГП (по согласованию), АПК (по согласованию), АЗРК (по согласованию), АРРФР (по согласованию), НБ (по согласованию), СГО (по согласованию), ЦИК (по согласованию), ВС (по согласованию), ВСС (по согласованию), аппараты Мажилиса и Сената Парламента (по согласованию), НЦПЧ(по согласованию), акимы областей, городов Астаны, Алматы, Шымкента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перевод документов с пометкой "для служебного пользования" в электронный формат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декабря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информацией между госорганами в электронном формате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(Оралов А.Р.), МЦРИАП, КНБ (по согласованию) УДП (по согласованию), АО "НИТ"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группа с участием представителей АП, АПр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введение в промышленную эксплуатацию модуля законотворческого процесса информационной системы "Е-заңнама"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промышленную эксплуатацию модуля законотворческого процесса информационной системы "Е-заңнама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сквозной контроль, открытость всех этапов, анализ больших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(Ескараев А.Н.), МЦРИАП, МФ, ЦГО, АО "НИТ"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внедрение единой информационной системы бухгалтерского учета центральных государственных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система бухгалтерского учета ЦГО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(Казганбаев Э.Ш.), МЦРИАП, АО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обеспечить институционализацию системы "Е-Otinish" в качестве "одного окна" для приема всех видов обращений физических и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унификация инструментов и способов коммуникаций с гражданами, представителями средств массовой информации, неправительственных организаций и другими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ГП (по согласованию) МЮ, МКС, ЦГО, акиматы областей, городов Нур-Султана, Алматы, Шымкент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ежегодное проведение среди государственных служащих конкурса на лучший проект по совершенствованию деятельности государственного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30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государственных служащих на изменения, улучшающие процесс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(Жазыкбаев Д.М., по согласованию), МЦРИАП (Мусин Б.Б.)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ежегодное проведение опроса по дебюрократизации в рамках процедур мониторинга состояния государственной службы и общественного мониторинга качества оказания государственных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декабря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 оказания государственных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(Жазыкбаев Д.М., по согласованию), МЦРИАП (Мусин Б.Б.)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запуск постоянно действующего онлайн-ресурса для сбора предложений по дебюрократизации и повышению эффективности государственных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онлайн - ресурса для сбора предложений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онлайн-ресурс для сбора содержательных предложений по улучшению процессов и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(Мусин Б.Б.), АДГС (по согласованию), АСПР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регулярной основе проводить анализ предложений, поступающих на онлайн-ресурс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по итогам полугодия - до 20 июля, до 20 января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дебюрократизация государственных органов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 (Иргалиев А.А., по согласованию), АДГС (Жазыкбаев Д.М., по согласованию), МЦРИАП (Мусин Б.Б.)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ревизию законодательных актов на предмет излишней (чрезмерной) законодательной регламентации норм, которые в целях оперативности должны определяться Правительством или государственными органами в подзаконных нормативных правовых актах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
          <w:p>
            <w:pPr>
              <w:spacing w:after="20"/>
              <w:ind w:left="20"/>
              <w:jc w:val="both"/>
            </w:pPr>
            <w:r>
              <w:rPr>
                <w:rFonts w:ascii="Times New Roman"/>
                <w:b w:val="false"/>
                <w:i w:val="false"/>
                <w:color w:val="000000"/>
                <w:sz w:val="20"/>
              </w:rPr>
              <w:t>
сентябрь 2022 года</w:t>
            </w:r>
          </w:p>
          <w:bookmarkEnd w:id="19"/>
          <w:p>
            <w:pPr>
              <w:spacing w:after="20"/>
              <w:ind w:left="20"/>
              <w:jc w:val="both"/>
            </w:pPr>
            <w:r>
              <w:rPr>
                <w:rFonts w:ascii="Times New Roman"/>
                <w:b w:val="false"/>
                <w:i w:val="false"/>
                <w:color w:val="000000"/>
                <w:sz w:val="20"/>
              </w:rPr>
              <w:t>
декабрь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0"/>
          <w:p>
            <w:pPr>
              <w:spacing w:after="20"/>
              <w:ind w:left="20"/>
              <w:jc w:val="both"/>
            </w:pPr>
            <w:r>
              <w:rPr>
                <w:rFonts w:ascii="Times New Roman"/>
                <w:b w:val="false"/>
                <w:i w:val="false"/>
                <w:color w:val="000000"/>
                <w:sz w:val="20"/>
              </w:rPr>
              <w:t>
внесение проекта Закона в Мажилис Парламента</w:t>
            </w:r>
          </w:p>
          <w:bookmarkEnd w:id="20"/>
          <w:p>
            <w:pPr>
              <w:spacing w:after="20"/>
              <w:ind w:left="20"/>
              <w:jc w:val="both"/>
            </w:pPr>
            <w:r>
              <w:rPr>
                <w:rFonts w:ascii="Times New Roman"/>
                <w:b w:val="false"/>
                <w:i w:val="false"/>
                <w:color w:val="000000"/>
                <w:sz w:val="20"/>
              </w:rPr>
              <w:t>
Закон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принятия нормативных правовых актов в целях реализации возложенных задач без излишней (чрезмерной) конкретизации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(Мусин К.С.), заинтересованные государственные органы в установленном порядке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согласно Правилам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мониторинг и анализ по вопросам дебюрократизации государственного аппарата, в том числе с изучением внутренних административных процедур государственных органов, а также внесением их результатов на полугодовой основе в Администрацию Президента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1"/>
          <w:p>
            <w:pPr>
              <w:spacing w:after="20"/>
              <w:ind w:left="20"/>
              <w:jc w:val="both"/>
            </w:pPr>
            <w:r>
              <w:rPr>
                <w:rFonts w:ascii="Times New Roman"/>
                <w:b w:val="false"/>
                <w:i w:val="false"/>
                <w:color w:val="000000"/>
                <w:sz w:val="20"/>
              </w:rPr>
              <w:t>
июнь 2022 года</w:t>
            </w:r>
          </w:p>
          <w:bookmarkEnd w:id="21"/>
          <w:p>
            <w:pPr>
              <w:spacing w:after="20"/>
              <w:ind w:left="20"/>
              <w:jc w:val="both"/>
            </w:pPr>
            <w:r>
              <w:rPr>
                <w:rFonts w:ascii="Times New Roman"/>
                <w:b w:val="false"/>
                <w:i w:val="false"/>
                <w:color w:val="000000"/>
                <w:sz w:val="20"/>
              </w:rPr>
              <w:t xml:space="preserve">
ежегодно, по итогам полугодия - до 20 июля, до 20 января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информация в 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систематизация</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функций</w:t>
            </w:r>
          </w:p>
          <w:p>
            <w:pPr>
              <w:spacing w:after="20"/>
              <w:ind w:left="20"/>
              <w:jc w:val="both"/>
            </w:pPr>
            <w:r>
              <w:rPr>
                <w:rFonts w:ascii="Times New Roman"/>
                <w:b w:val="false"/>
                <w:i w:val="false"/>
                <w:color w:val="000000"/>
                <w:sz w:val="20"/>
              </w:rPr>
              <w:t>
дебюрократизации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(Жазыкбаев Д.М.,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 w:id="23"/>
    <w:p>
      <w:pPr>
        <w:spacing w:after="0"/>
        <w:ind w:left="0"/>
        <w:jc w:val="both"/>
      </w:pPr>
      <w:r>
        <w:rPr>
          <w:rFonts w:ascii="Times New Roman"/>
          <w:b w:val="false"/>
          <w:i w:val="false"/>
          <w:color w:val="000000"/>
          <w:sz w:val="28"/>
        </w:rPr>
        <w:t>
      Примечание: расшифровка аббревиатур:</w:t>
      </w:r>
    </w:p>
    <w:bookmarkEnd w:id="23"/>
    <w:bookmarkStart w:name="z54" w:id="24"/>
    <w:p>
      <w:pPr>
        <w:spacing w:after="0"/>
        <w:ind w:left="0"/>
        <w:jc w:val="both"/>
      </w:pPr>
      <w:r>
        <w:rPr>
          <w:rFonts w:ascii="Times New Roman"/>
          <w:b w:val="false"/>
          <w:i w:val="false"/>
          <w:color w:val="000000"/>
          <w:sz w:val="28"/>
        </w:rPr>
        <w:t>
      НЦГТЧ - Национальный центр по правам человека</w:t>
      </w:r>
    </w:p>
    <w:bookmarkEnd w:id="24"/>
    <w:bookmarkStart w:name="z55" w:id="25"/>
    <w:p>
      <w:pPr>
        <w:spacing w:after="0"/>
        <w:ind w:left="0"/>
        <w:jc w:val="both"/>
      </w:pPr>
      <w:r>
        <w:rPr>
          <w:rFonts w:ascii="Times New Roman"/>
          <w:b w:val="false"/>
          <w:i w:val="false"/>
          <w:color w:val="000000"/>
          <w:sz w:val="28"/>
        </w:rPr>
        <w:t>
      МЮ - Министерство юстиции Республики Казахстан</w:t>
      </w:r>
    </w:p>
    <w:bookmarkEnd w:id="25"/>
    <w:bookmarkStart w:name="z56" w:id="26"/>
    <w:p>
      <w:pPr>
        <w:spacing w:after="0"/>
        <w:ind w:left="0"/>
        <w:jc w:val="both"/>
      </w:pPr>
      <w:r>
        <w:rPr>
          <w:rFonts w:ascii="Times New Roman"/>
          <w:b w:val="false"/>
          <w:i w:val="false"/>
          <w:color w:val="000000"/>
          <w:sz w:val="28"/>
        </w:rPr>
        <w:t>
      ГП - Генеральная прокуратура Республики Казахстан</w:t>
      </w:r>
    </w:p>
    <w:bookmarkEnd w:id="26"/>
    <w:bookmarkStart w:name="z57" w:id="27"/>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bookmarkEnd w:id="27"/>
    <w:bookmarkStart w:name="z58" w:id="28"/>
    <w:p>
      <w:pPr>
        <w:spacing w:after="0"/>
        <w:ind w:left="0"/>
        <w:jc w:val="both"/>
      </w:pPr>
      <w:r>
        <w:rPr>
          <w:rFonts w:ascii="Times New Roman"/>
          <w:b w:val="false"/>
          <w:i w:val="false"/>
          <w:color w:val="000000"/>
          <w:sz w:val="28"/>
        </w:rPr>
        <w:t>
      СК - Счетный комитет по контролю за исполнением республиканского бюджета</w:t>
      </w:r>
    </w:p>
    <w:bookmarkEnd w:id="28"/>
    <w:bookmarkStart w:name="z59" w:id="29"/>
    <w:p>
      <w:pPr>
        <w:spacing w:after="0"/>
        <w:ind w:left="0"/>
        <w:jc w:val="both"/>
      </w:pPr>
      <w:r>
        <w:rPr>
          <w:rFonts w:ascii="Times New Roman"/>
          <w:b w:val="false"/>
          <w:i w:val="false"/>
          <w:color w:val="000000"/>
          <w:sz w:val="28"/>
        </w:rPr>
        <w:t>
      ВС - Верховный Суд Республики Казахстан</w:t>
      </w:r>
    </w:p>
    <w:bookmarkEnd w:id="29"/>
    <w:bookmarkStart w:name="z60" w:id="30"/>
    <w:p>
      <w:pPr>
        <w:spacing w:after="0"/>
        <w:ind w:left="0"/>
        <w:jc w:val="both"/>
      </w:pPr>
      <w:r>
        <w:rPr>
          <w:rFonts w:ascii="Times New Roman"/>
          <w:b w:val="false"/>
          <w:i w:val="false"/>
          <w:color w:val="000000"/>
          <w:sz w:val="28"/>
        </w:rPr>
        <w:t>
      ВСС - Высший Судебный Совет Республики Казахстан</w:t>
      </w:r>
    </w:p>
    <w:bookmarkEnd w:id="30"/>
    <w:bookmarkStart w:name="z61"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МФ - Министерство финансов Республики Казахстан</w:t>
      </w:r>
    </w:p>
    <w:bookmarkEnd w:id="31"/>
    <w:bookmarkStart w:name="z63" w:id="32"/>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bookmarkEnd w:id="32"/>
    <w:bookmarkStart w:name="z64" w:id="33"/>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33"/>
    <w:bookmarkStart w:name="z65" w:id="34"/>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34"/>
    <w:bookmarkStart w:name="z66" w:id="35"/>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35"/>
    <w:bookmarkStart w:name="z67" w:id="36"/>
    <w:p>
      <w:pPr>
        <w:spacing w:after="0"/>
        <w:ind w:left="0"/>
        <w:jc w:val="both"/>
      </w:pPr>
      <w:r>
        <w:rPr>
          <w:rFonts w:ascii="Times New Roman"/>
          <w:b w:val="false"/>
          <w:i w:val="false"/>
          <w:color w:val="000000"/>
          <w:sz w:val="28"/>
        </w:rPr>
        <w:t>
      СГО - Служба государственной охраны Республики Казахстан</w:t>
      </w:r>
    </w:p>
    <w:bookmarkEnd w:id="36"/>
    <w:bookmarkStart w:name="z68" w:id="37"/>
    <w:p>
      <w:pPr>
        <w:spacing w:after="0"/>
        <w:ind w:left="0"/>
        <w:jc w:val="both"/>
      </w:pPr>
      <w:r>
        <w:rPr>
          <w:rFonts w:ascii="Times New Roman"/>
          <w:b w:val="false"/>
          <w:i w:val="false"/>
          <w:color w:val="000000"/>
          <w:sz w:val="28"/>
        </w:rPr>
        <w:t>
      ЦИО - Центральные исполнительные органы</w:t>
      </w:r>
    </w:p>
    <w:bookmarkEnd w:id="37"/>
    <w:bookmarkStart w:name="z69" w:id="38"/>
    <w:p>
      <w:pPr>
        <w:spacing w:after="0"/>
        <w:ind w:left="0"/>
        <w:jc w:val="both"/>
      </w:pPr>
      <w:r>
        <w:rPr>
          <w:rFonts w:ascii="Times New Roman"/>
          <w:b w:val="false"/>
          <w:i w:val="false"/>
          <w:color w:val="000000"/>
          <w:sz w:val="28"/>
        </w:rPr>
        <w:t>
      ЦГО - Центральные государственные органы</w:t>
      </w:r>
    </w:p>
    <w:bookmarkEnd w:id="38"/>
    <w:bookmarkStart w:name="z70" w:id="39"/>
    <w:p>
      <w:pPr>
        <w:spacing w:after="0"/>
        <w:ind w:left="0"/>
        <w:jc w:val="both"/>
      </w:pPr>
      <w:r>
        <w:rPr>
          <w:rFonts w:ascii="Times New Roman"/>
          <w:b w:val="false"/>
          <w:i w:val="false"/>
          <w:color w:val="000000"/>
          <w:sz w:val="28"/>
        </w:rPr>
        <w:t>
      ЦИК - Центральная избирательная комиссия Республики Казахстан</w:t>
      </w:r>
    </w:p>
    <w:bookmarkEnd w:id="39"/>
    <w:bookmarkStart w:name="z71" w:id="40"/>
    <w:p>
      <w:pPr>
        <w:spacing w:after="0"/>
        <w:ind w:left="0"/>
        <w:jc w:val="both"/>
      </w:pPr>
      <w:r>
        <w:rPr>
          <w:rFonts w:ascii="Times New Roman"/>
          <w:b w:val="false"/>
          <w:i w:val="false"/>
          <w:color w:val="000000"/>
          <w:sz w:val="28"/>
        </w:rPr>
        <w:t>
      АП - Администрация Президента Республики Казахстан</w:t>
      </w:r>
    </w:p>
    <w:bookmarkEnd w:id="40"/>
    <w:bookmarkStart w:name="z72" w:id="41"/>
    <w:p>
      <w:pPr>
        <w:spacing w:after="0"/>
        <w:ind w:left="0"/>
        <w:jc w:val="both"/>
      </w:pPr>
      <w:r>
        <w:rPr>
          <w:rFonts w:ascii="Times New Roman"/>
          <w:b w:val="false"/>
          <w:i w:val="false"/>
          <w:color w:val="000000"/>
          <w:sz w:val="28"/>
        </w:rPr>
        <w:t>
      КПМ - Канцелярия Премьер-Министра Республики Казахстан</w:t>
      </w:r>
    </w:p>
    <w:bookmarkEnd w:id="41"/>
    <w:bookmarkStart w:name="z73" w:id="42"/>
    <w:p>
      <w:pPr>
        <w:spacing w:after="0"/>
        <w:ind w:left="0"/>
        <w:jc w:val="both"/>
      </w:pPr>
      <w:r>
        <w:rPr>
          <w:rFonts w:ascii="Times New Roman"/>
          <w:b w:val="false"/>
          <w:i w:val="false"/>
          <w:color w:val="000000"/>
          <w:sz w:val="28"/>
        </w:rPr>
        <w:t>
      УДП - Управление делами Президента Республики Казахстан</w:t>
      </w:r>
    </w:p>
    <w:bookmarkEnd w:id="42"/>
    <w:bookmarkStart w:name="z74" w:id="43"/>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bookmarkEnd w:id="43"/>
    <w:bookmarkStart w:name="z75" w:id="44"/>
    <w:p>
      <w:pPr>
        <w:spacing w:after="0"/>
        <w:ind w:left="0"/>
        <w:jc w:val="both"/>
      </w:pPr>
      <w:r>
        <w:rPr>
          <w:rFonts w:ascii="Times New Roman"/>
          <w:b w:val="false"/>
          <w:i w:val="false"/>
          <w:color w:val="000000"/>
          <w:sz w:val="28"/>
        </w:rPr>
        <w:t>
      АПК - Агентство Республики Казахстан по противодействию коррупции</w:t>
      </w:r>
    </w:p>
    <w:bookmarkEnd w:id="44"/>
    <w:bookmarkStart w:name="z76" w:id="45"/>
    <w:p>
      <w:pPr>
        <w:spacing w:after="0"/>
        <w:ind w:left="0"/>
        <w:jc w:val="both"/>
      </w:pPr>
      <w:r>
        <w:rPr>
          <w:rFonts w:ascii="Times New Roman"/>
          <w:b w:val="false"/>
          <w:i w:val="false"/>
          <w:color w:val="000000"/>
          <w:sz w:val="28"/>
        </w:rPr>
        <w:t>
      АО "НИТ" - Акционерное общество "Национальные информационные технологии"</w:t>
      </w:r>
    </w:p>
    <w:bookmarkEnd w:id="45"/>
    <w:bookmarkStart w:name="z77" w:id="46"/>
    <w:p>
      <w:pPr>
        <w:spacing w:after="0"/>
        <w:ind w:left="0"/>
        <w:jc w:val="both"/>
      </w:pPr>
      <w:r>
        <w:rPr>
          <w:rFonts w:ascii="Times New Roman"/>
          <w:b w:val="false"/>
          <w:i w:val="false"/>
          <w:color w:val="000000"/>
          <w:sz w:val="28"/>
        </w:rPr>
        <w:t xml:space="preserve">
      НБ - Национальный Банк Республики Казахстан </w:t>
      </w:r>
    </w:p>
    <w:bookmarkEnd w:id="46"/>
    <w:bookmarkStart w:name="z78" w:id="47"/>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47"/>
    <w:bookmarkStart w:name="z79" w:id="48"/>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48"/>
    <w:bookmarkStart w:name="z80" w:id="49"/>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49"/>
    <w:bookmarkStart w:name="z81" w:id="50"/>
    <w:p>
      <w:pPr>
        <w:spacing w:after="0"/>
        <w:ind w:left="0"/>
        <w:jc w:val="both"/>
      </w:pPr>
      <w:r>
        <w:rPr>
          <w:rFonts w:ascii="Times New Roman"/>
          <w:b w:val="false"/>
          <w:i w:val="false"/>
          <w:color w:val="000000"/>
          <w:sz w:val="28"/>
        </w:rPr>
        <w:t>
      РГП на ПХВ "Центр поддержки цифрового правительства" - Республиканское государственное предприятие на правке хозяйственного ведения "Центр поддержки цифрового правительства"</w:t>
      </w:r>
    </w:p>
    <w:bookmarkEnd w:id="50"/>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p>
      <w:pPr>
        <w:spacing w:after="0"/>
        <w:ind w:left="0"/>
        <w:jc w:val="both"/>
      </w:pPr>
      <w:r>
        <w:rPr>
          <w:rFonts w:ascii="Times New Roman"/>
          <w:b w:val="false"/>
          <w:i w:val="false"/>
          <w:color w:val="000000"/>
          <w:sz w:val="28"/>
        </w:rPr>
        <w:t>
      АПр – Аппарат Правительства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