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33cf" w14:textId="dd33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предельной величины процентной ставки комиссионного вознаграждения, получаемого от активов фонда социального медицинского страхования,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2022 года № 328.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16 ноября 2015 года "Об обязательном социальном медицинском страховании"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на 2022 год предельную величину процентной ставки комиссионного вознаграждения на осуществление деятельности некоммерческого акционерного общества "Фонд социального медицинского страхования" (далее – фонд) не более 0,99 процента от размера активов, поступивших на счет фонда за отчетный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2022 года и подлежит официальному опубликованию.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