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4b37" w14:textId="1a14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2022 года № 558.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29,8 % от чистого дохода, отраженного в консолидированной годовой финансовой отчетности по итогам 2021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