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df91" w14:textId="464d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2022 года № 665.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"170) утверждает содержание и правила организации профессиональной служебной (профессиональной) и физической подготовки сотрудников и военнослужащих органов гражданской защиты;";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174-1) и 174-2)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"174-1) утверждает инструкцию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(воинских) званий, увольнении и откомандировании;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174-2) утверждает описание, знаки различия, а также правила ношения форменной одежды сотрудников органов гражданской защиты;";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175-1), 175-2), 175-3), 175-4), 175-5), 175-6), 175-7), 175-8) и 175-9)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"175-1) утверждает методику оценки результатов кадрового обеспечения и качества работы субъектов кадровой политики органов гражданской защиты;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175-2) утверждает инструкцию по планированию и подготовке материалов организационно-штатных мероприятий, разработке штатов органов гражданской защиты;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175-3) утверждает правила отбора на первоначальную профессиональную подготовку и условия ее прохождения для лиц, поступающих в органы гражданской защиты, а также основания их отчисления от первоначальной профессиональной подготовки;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175-4) утверждает правила и сроки организации наставничества для лиц, впервые поступающих на правоохранительную службу в органы гражданской защиты;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175-5) организует воспитательную, социально-правовую, психологическую и идеологическую работу с личным составом органов гражданской защиты;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175-6) утверждает правила организации воспитательной, психологической и идеологической работы с личным составом органов гражданской защиты;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175-7) утверждает правила и методику проведения ежегодного социологического мониторинга состояния морально-психологического климата в подразделениях органов гражданской защиты;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175-8) утверждает правила и методы определения профессиональных компетенций, ключевых показателей и расчета показателя конкурентоспособности в органах гражданской защиты;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175-9) утверждает правила ведения личных дел, содержащих персональные данные сотрудников и военнослужащих органов гражданской защиты;".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четвертого, пятого, четырнадцатого, пятнадцатого, шестнадцатого, семнадцатого и восемнадцатого пункта 1 настоящего постановления, которые вводятся в действие с 11 сентября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