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b501" w14:textId="1a1b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жилищно-коммунальной инфраструктуры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23 сентября 2022 года № 736.</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28.03.2023 </w:t>
      </w:r>
      <w:r>
        <w:rPr>
          <w:rFonts w:ascii="Times New Roman"/>
          <w:b w:val="false"/>
          <w:i w:val="false"/>
          <w:color w:val="ff0000"/>
          <w:sz w:val="28"/>
        </w:rPr>
        <w:t>№ 265</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жилищно-коммунальной инфраструктуры на 2023 – 2029 годы (далее – Концепция).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28.03.2023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исполнения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736</w:t>
            </w:r>
          </w:p>
        </w:tc>
      </w:tr>
    </w:tbl>
    <w:bookmarkStart w:name="z13" w:id="8"/>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жилищно-коммунальной инфраструктуры</w:t>
      </w:r>
      <w:r>
        <w:br/>
      </w:r>
      <w:r>
        <w:rPr>
          <w:rFonts w:ascii="Times New Roman"/>
          <w:b/>
          <w:i w:val="false"/>
          <w:color w:val="000000"/>
        </w:rPr>
        <w:t>на 2023 – 2029 годы</w:t>
      </w:r>
    </w:p>
    <w:bookmarkEnd w:id="8"/>
    <w:p>
      <w:pPr>
        <w:spacing w:after="0"/>
        <w:ind w:left="0"/>
        <w:jc w:val="both"/>
      </w:pPr>
      <w:r>
        <w:rPr>
          <w:rFonts w:ascii="Times New Roman"/>
          <w:b w:val="false"/>
          <w:i w:val="false"/>
          <w:color w:val="ff0000"/>
          <w:sz w:val="28"/>
        </w:rPr>
        <w:t xml:space="preserve">
      Сноска. Концепция - в редакции постановления Правительства РК от 28.03.2023 </w:t>
      </w:r>
      <w:r>
        <w:rPr>
          <w:rFonts w:ascii="Times New Roman"/>
          <w:b w:val="false"/>
          <w:i w:val="false"/>
          <w:color w:val="ff0000"/>
          <w:sz w:val="28"/>
        </w:rPr>
        <w:t>№ 265</w:t>
      </w:r>
      <w:r>
        <w:rPr>
          <w:rFonts w:ascii="Times New Roman"/>
          <w:b w:val="false"/>
          <w:i w:val="false"/>
          <w:color w:val="ff0000"/>
          <w:sz w:val="28"/>
        </w:rPr>
        <w:t>.</w:t>
      </w:r>
    </w:p>
    <w:bookmarkStart w:name="z728" w:id="9"/>
    <w:p>
      <w:pPr>
        <w:spacing w:after="0"/>
        <w:ind w:left="0"/>
        <w:jc w:val="left"/>
      </w:pPr>
      <w:r>
        <w:rPr>
          <w:rFonts w:ascii="Times New Roman"/>
          <w:b/>
          <w:i w:val="false"/>
          <w:color w:val="000000"/>
        </w:rPr>
        <w:t xml:space="preserve"> 1. Паспорт (основные параметры)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жилищно-коммунальной инфраструктуры на 2023-2029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Указ Президента Республики Казахстан от 21 февраля 2022 года № 812 "Об утверждении Плана территориального развития Республики Казахстан до 2025 года";</w:t>
            </w:r>
          </w:p>
          <w:p>
            <w:pPr>
              <w:spacing w:after="20"/>
              <w:ind w:left="20"/>
              <w:jc w:val="both"/>
            </w:pPr>
            <w:r>
              <w:rPr>
                <w:rFonts w:ascii="Times New Roman"/>
                <w:b w:val="false"/>
                <w:i w:val="false"/>
                <w:color w:val="000000"/>
                <w:sz w:val="20"/>
              </w:rPr>
              <w:t>
Указ Президента Республики Казахстан от 13 сентября 2022 года № 1008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№2 "О мерах по реализации предвыборной программы Президента Республики Казахстан "Справедливый Казахстан – для всех и для каждого. Сейчас и навсегда";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№790 "Об утверждении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предвыборная программа партии "Аманат" "Путь перемен: достойную жизнь каждому!".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p>
            <w:pPr>
              <w:spacing w:after="20"/>
              <w:ind w:left="20"/>
              <w:jc w:val="both"/>
            </w:pPr>
            <w:r>
              <w:rPr>
                <w:rFonts w:ascii="Times New Roman"/>
                <w:b w:val="false"/>
                <w:i w:val="false"/>
                <w:color w:val="000000"/>
                <w:sz w:val="20"/>
              </w:rPr>
              <w:t>
Министерство финансов Республики Казахстан;</w:t>
            </w:r>
          </w:p>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p>
            <w:pPr>
              <w:spacing w:after="20"/>
              <w:ind w:left="20"/>
              <w:jc w:val="both"/>
            </w:pPr>
            <w:r>
              <w:rPr>
                <w:rFonts w:ascii="Times New Roman"/>
                <w:b w:val="false"/>
                <w:i w:val="false"/>
                <w:color w:val="000000"/>
                <w:sz w:val="20"/>
              </w:rPr>
              <w:t>
Министерство сельского хозяйства Республики Казахстан;</w:t>
            </w:r>
          </w:p>
          <w:p>
            <w:pPr>
              <w:spacing w:after="20"/>
              <w:ind w:left="20"/>
              <w:jc w:val="both"/>
            </w:pPr>
            <w:r>
              <w:rPr>
                <w:rFonts w:ascii="Times New Roman"/>
                <w:b w:val="false"/>
                <w:i w:val="false"/>
                <w:color w:val="000000"/>
                <w:sz w:val="20"/>
              </w:rPr>
              <w:t xml:space="preserve">
Министерство труда и социальной защиты населения Республики Казахстан; </w:t>
            </w:r>
          </w:p>
          <w:p>
            <w:pPr>
              <w:spacing w:after="20"/>
              <w:ind w:left="20"/>
              <w:jc w:val="both"/>
            </w:pPr>
            <w:r>
              <w:rPr>
                <w:rFonts w:ascii="Times New Roman"/>
                <w:b w:val="false"/>
                <w:i w:val="false"/>
                <w:color w:val="000000"/>
                <w:sz w:val="20"/>
              </w:rPr>
              <w:t>
Министерство энергетики Республики Казахстан;</w:t>
            </w:r>
          </w:p>
          <w:p>
            <w:pPr>
              <w:spacing w:after="20"/>
              <w:ind w:left="20"/>
              <w:jc w:val="both"/>
            </w:pPr>
            <w:r>
              <w:rPr>
                <w:rFonts w:ascii="Times New Roman"/>
                <w:b w:val="false"/>
                <w:i w:val="false"/>
                <w:color w:val="000000"/>
                <w:sz w:val="20"/>
              </w:rPr>
              <w:t xml:space="preserve">
Министерство науки и высшего образования Республики Казахстан; </w:t>
            </w:r>
          </w:p>
          <w:p>
            <w:pPr>
              <w:spacing w:after="20"/>
              <w:ind w:left="20"/>
              <w:jc w:val="both"/>
            </w:pPr>
            <w:r>
              <w:rPr>
                <w:rFonts w:ascii="Times New Roman"/>
                <w:b w:val="false"/>
                <w:i w:val="false"/>
                <w:color w:val="000000"/>
                <w:sz w:val="20"/>
              </w:rPr>
              <w:t>
акиматы областей, городов Астаны, Алматы и Шымкента;</w:t>
            </w:r>
          </w:p>
          <w:p>
            <w:pPr>
              <w:spacing w:after="20"/>
              <w:ind w:left="20"/>
              <w:jc w:val="both"/>
            </w:pPr>
            <w:r>
              <w:rPr>
                <w:rFonts w:ascii="Times New Roman"/>
                <w:b w:val="false"/>
                <w:i w:val="false"/>
                <w:color w:val="000000"/>
                <w:sz w:val="20"/>
              </w:rPr>
              <w:t>
НПП (по согласованию);</w:t>
            </w:r>
          </w:p>
          <w:p>
            <w:pPr>
              <w:spacing w:after="20"/>
              <w:ind w:left="20"/>
              <w:jc w:val="both"/>
            </w:pPr>
            <w:r>
              <w:rPr>
                <w:rFonts w:ascii="Times New Roman"/>
                <w:b w:val="false"/>
                <w:i w:val="false"/>
                <w:color w:val="000000"/>
                <w:sz w:val="20"/>
              </w:rPr>
              <w:t>
АО "НУХ "Байтерек" (по согласованию);</w:t>
            </w:r>
          </w:p>
          <w:p>
            <w:pPr>
              <w:spacing w:after="20"/>
              <w:ind w:left="20"/>
              <w:jc w:val="both"/>
            </w:pPr>
            <w:r>
              <w:rPr>
                <w:rFonts w:ascii="Times New Roman"/>
                <w:b w:val="false"/>
                <w:i w:val="false"/>
                <w:color w:val="000000"/>
                <w:sz w:val="20"/>
              </w:rPr>
              <w:t>
АО "КЖК" (по согласованию);</w:t>
            </w:r>
          </w:p>
          <w:p>
            <w:pPr>
              <w:spacing w:after="20"/>
              <w:ind w:left="20"/>
              <w:jc w:val="both"/>
            </w:pPr>
            <w:r>
              <w:rPr>
                <w:rFonts w:ascii="Times New Roman"/>
                <w:b w:val="false"/>
                <w:i w:val="false"/>
                <w:color w:val="000000"/>
                <w:sz w:val="20"/>
              </w:rPr>
              <w:t>
АО "Отбасы банк" (по согласованию);</w:t>
            </w:r>
          </w:p>
          <w:p>
            <w:pPr>
              <w:spacing w:after="20"/>
              <w:ind w:left="20"/>
              <w:jc w:val="both"/>
            </w:pPr>
            <w:r>
              <w:rPr>
                <w:rFonts w:ascii="Times New Roman"/>
                <w:b w:val="false"/>
                <w:i w:val="false"/>
                <w:color w:val="000000"/>
                <w:sz w:val="20"/>
              </w:rPr>
              <w:t>
АО "КазЦентр ЖКХ" (по согласованию);</w:t>
            </w:r>
          </w:p>
          <w:p>
            <w:pPr>
              <w:spacing w:after="20"/>
              <w:ind w:left="20"/>
              <w:jc w:val="both"/>
            </w:pPr>
            <w:r>
              <w:rPr>
                <w:rFonts w:ascii="Times New Roman"/>
                <w:b w:val="false"/>
                <w:i w:val="false"/>
                <w:color w:val="000000"/>
                <w:sz w:val="20"/>
              </w:rPr>
              <w:t>
АО "КазНИИСА" (по согласованию);</w:t>
            </w:r>
          </w:p>
          <w:p>
            <w:pPr>
              <w:spacing w:after="20"/>
              <w:ind w:left="20"/>
              <w:jc w:val="both"/>
            </w:pPr>
            <w:r>
              <w:rPr>
                <w:rFonts w:ascii="Times New Roman"/>
                <w:b w:val="false"/>
                <w:i w:val="false"/>
                <w:color w:val="000000"/>
                <w:sz w:val="20"/>
              </w:rPr>
              <w:t>
РГП "Госградкадастр" (по согласованию);</w:t>
            </w:r>
          </w:p>
          <w:p>
            <w:pPr>
              <w:spacing w:after="20"/>
              <w:ind w:left="20"/>
              <w:jc w:val="both"/>
            </w:pPr>
            <w:r>
              <w:rPr>
                <w:rFonts w:ascii="Times New Roman"/>
                <w:b w:val="false"/>
                <w:i w:val="false"/>
                <w:color w:val="000000"/>
                <w:sz w:val="20"/>
              </w:rPr>
              <w:t>
РГП "Госэкспертиза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729" w:id="10"/>
    <w:p>
      <w:pPr>
        <w:spacing w:after="0"/>
        <w:ind w:left="0"/>
        <w:jc w:val="left"/>
      </w:pPr>
      <w:r>
        <w:rPr>
          <w:rFonts w:ascii="Times New Roman"/>
          <w:b/>
          <w:i w:val="false"/>
          <w:color w:val="000000"/>
        </w:rPr>
        <w:t xml:space="preserve"> 2. Анализ текущей ситуации</w:t>
      </w:r>
    </w:p>
    <w:bookmarkEnd w:id="10"/>
    <w:bookmarkStart w:name="z730" w:id="11"/>
    <w:p>
      <w:pPr>
        <w:spacing w:after="0"/>
        <w:ind w:left="0"/>
        <w:jc w:val="both"/>
      </w:pPr>
      <w:r>
        <w:rPr>
          <w:rFonts w:ascii="Times New Roman"/>
          <w:b w:val="false"/>
          <w:i w:val="false"/>
          <w:color w:val="000000"/>
          <w:sz w:val="28"/>
        </w:rPr>
        <w:t xml:space="preserve">
      Услуги жилищно-коммунального хозяйства – это одно из основных жизненных благ, определяющих уровень жизни населения, поскольку удовлетворение ими или потребности в них ощущаются населением особенно остро. </w:t>
      </w:r>
    </w:p>
    <w:bookmarkEnd w:id="11"/>
    <w:bookmarkStart w:name="z731" w:id="12"/>
    <w:p>
      <w:pPr>
        <w:spacing w:after="0"/>
        <w:ind w:left="0"/>
        <w:jc w:val="both"/>
      </w:pPr>
      <w:r>
        <w:rPr>
          <w:rFonts w:ascii="Times New Roman"/>
          <w:b w:val="false"/>
          <w:i w:val="false"/>
          <w:color w:val="000000"/>
          <w:sz w:val="28"/>
        </w:rPr>
        <w:t>
      Сфера жилищно-коммунального хозяйства представляет собой 2 основных взаимосвязанных элемента:</w:t>
      </w:r>
    </w:p>
    <w:bookmarkEnd w:id="12"/>
    <w:bookmarkStart w:name="z732" w:id="13"/>
    <w:p>
      <w:pPr>
        <w:spacing w:after="0"/>
        <w:ind w:left="0"/>
        <w:jc w:val="both"/>
      </w:pPr>
      <w:r>
        <w:rPr>
          <w:rFonts w:ascii="Times New Roman"/>
          <w:b w:val="false"/>
          <w:i w:val="false"/>
          <w:color w:val="000000"/>
          <w:sz w:val="28"/>
        </w:rPr>
        <w:t>
      1) коммунальный сектор, включающий в себя системы, обеспечивающие водо-, газо-, тепло-, электроснабжение и водоотведение, благоустройство и содержание объектов общего пользования и территории населенных пунктов;</w:t>
      </w:r>
    </w:p>
    <w:bookmarkEnd w:id="13"/>
    <w:bookmarkStart w:name="z733" w:id="14"/>
    <w:p>
      <w:pPr>
        <w:spacing w:after="0"/>
        <w:ind w:left="0"/>
        <w:jc w:val="both"/>
      </w:pPr>
      <w:r>
        <w:rPr>
          <w:rFonts w:ascii="Times New Roman"/>
          <w:b w:val="false"/>
          <w:i w:val="false"/>
          <w:color w:val="000000"/>
          <w:sz w:val="28"/>
        </w:rPr>
        <w:t>
      2) жилищный сектор, включающий в себя многоэтажные жилые дома (далее – МЖД) и индивидуальные домостроения, являющиеся основными потребителями коммунальных услуг.</w:t>
      </w:r>
    </w:p>
    <w:bookmarkEnd w:id="14"/>
    <w:bookmarkStart w:name="z734" w:id="15"/>
    <w:p>
      <w:pPr>
        <w:spacing w:after="0"/>
        <w:ind w:left="0"/>
        <w:jc w:val="both"/>
      </w:pPr>
      <w:r>
        <w:rPr>
          <w:rFonts w:ascii="Times New Roman"/>
          <w:b w:val="false"/>
          <w:i w:val="false"/>
          <w:color w:val="000000"/>
          <w:sz w:val="28"/>
        </w:rPr>
        <w:t>
      Вопросы предоставления населению коммунальных услуг регламентируются требованиями, предусмотренными национальными, государственными стандартами, санитарно-эпидемиологическими требованиями, техническими регламентами и нормативными правовыми актами в соответствующих сферах.</w:t>
      </w:r>
    </w:p>
    <w:bookmarkEnd w:id="15"/>
    <w:bookmarkStart w:name="z735" w:id="16"/>
    <w:p>
      <w:pPr>
        <w:spacing w:after="0"/>
        <w:ind w:left="0"/>
        <w:jc w:val="both"/>
      </w:pPr>
      <w:r>
        <w:rPr>
          <w:rFonts w:ascii="Times New Roman"/>
          <w:b w:val="false"/>
          <w:i w:val="false"/>
          <w:color w:val="000000"/>
          <w:sz w:val="28"/>
        </w:rPr>
        <w:t>
      Для обеспечения качественного территориального планирования развития коммунальной и жилищной инфраструктуры формируется Единая система государственного градостроительного кадастра (далее – АИС ГГК), которая содержит в цифровом формате данные о градостроительных проектах, зданиях, сооружениях, социальных объектах, инженерно-транспортной инфраструктуре.</w:t>
      </w:r>
    </w:p>
    <w:bookmarkEnd w:id="16"/>
    <w:bookmarkStart w:name="z736" w:id="17"/>
    <w:p>
      <w:pPr>
        <w:spacing w:after="0"/>
        <w:ind w:left="0"/>
        <w:jc w:val="both"/>
      </w:pPr>
      <w:r>
        <w:rPr>
          <w:rFonts w:ascii="Times New Roman"/>
          <w:b w:val="false"/>
          <w:i w:val="false"/>
          <w:color w:val="000000"/>
          <w:sz w:val="28"/>
        </w:rPr>
        <w:t>
      По данным обследования "Качество жизни населения", проведенного в марте 2022 года, 42,9 % респондентов удовлетворены качеством питьевой воды по месту своего проживания, 42,7 % – чистотой воздуха, 48,7 % – чистотой прилегающей к жилью территории, 54,9 % – качеством жилья, 66,6 % - внешним шумом в жилье, в котором проживают, частично удовлетворены возможностью приобрести жилье самостоятельно 39,9 % и 35,1 % по мерам поддержки со стороны государства.</w:t>
      </w:r>
    </w:p>
    <w:bookmarkEnd w:id="17"/>
    <w:bookmarkStart w:name="z737" w:id="18"/>
    <w:p>
      <w:pPr>
        <w:spacing w:after="0"/>
        <w:ind w:left="0"/>
        <w:jc w:val="both"/>
      </w:pPr>
      <w:r>
        <w:rPr>
          <w:rFonts w:ascii="Times New Roman"/>
          <w:b w:val="false"/>
          <w:i w:val="false"/>
          <w:color w:val="000000"/>
          <w:sz w:val="28"/>
        </w:rPr>
        <w:t xml:space="preserve">
      По результатам выборочного обследования в 2022 году жилье находилось в собственности одного члена – 86,9 % домашних хозяйств. Доля домашних хозяйств в жилье, которых принадлежало двум и более членам домашнего хозяйства, составила 8,3 %. </w:t>
      </w:r>
    </w:p>
    <w:bookmarkEnd w:id="18"/>
    <w:bookmarkStart w:name="z738" w:id="19"/>
    <w:p>
      <w:pPr>
        <w:spacing w:after="0"/>
        <w:ind w:left="0"/>
        <w:jc w:val="both"/>
      </w:pPr>
      <w:r>
        <w:rPr>
          <w:rFonts w:ascii="Times New Roman"/>
          <w:b w:val="false"/>
          <w:i w:val="false"/>
          <w:color w:val="000000"/>
          <w:sz w:val="28"/>
        </w:rPr>
        <w:t xml:space="preserve">
      Доля домашних хозяйств, плативших за жилье арендную плату частным лицам, составила 2,3 %. При этом 51,9 % опрошенных респондентов заявило, что не имело финансовых затруднений по оплате аренды или ипотечных платежей. </w:t>
      </w:r>
    </w:p>
    <w:bookmarkEnd w:id="19"/>
    <w:bookmarkStart w:name="z739" w:id="20"/>
    <w:p>
      <w:pPr>
        <w:spacing w:after="0"/>
        <w:ind w:left="0"/>
        <w:jc w:val="both"/>
      </w:pPr>
      <w:r>
        <w:rPr>
          <w:rFonts w:ascii="Times New Roman"/>
          <w:b w:val="false"/>
          <w:i w:val="false"/>
          <w:color w:val="000000"/>
          <w:sz w:val="28"/>
        </w:rPr>
        <w:t>
      В республике наиболее распространенными типами жилья домашних хозяйств являются трех и более квартирные дома (46 %) и одноквартирные (индивидуальные) дома (40,6 %). Лишь 11,3 % домашних хозяйств живет в двухквартирных домах, а занимают комнату в доме - 0,7 %.</w:t>
      </w:r>
    </w:p>
    <w:bookmarkEnd w:id="20"/>
    <w:bookmarkStart w:name="z740" w:id="21"/>
    <w:p>
      <w:pPr>
        <w:spacing w:after="0"/>
        <w:ind w:left="0"/>
        <w:jc w:val="both"/>
      </w:pPr>
      <w:r>
        <w:rPr>
          <w:rFonts w:ascii="Times New Roman"/>
          <w:b w:val="false"/>
          <w:i w:val="false"/>
          <w:color w:val="000000"/>
          <w:sz w:val="28"/>
        </w:rPr>
        <w:t xml:space="preserve">
      В целом 50 % респондентов удовлетворено условиями жизни. </w:t>
      </w:r>
    </w:p>
    <w:bookmarkEnd w:id="21"/>
    <w:bookmarkStart w:name="z741" w:id="22"/>
    <w:p>
      <w:pPr>
        <w:spacing w:after="0"/>
        <w:ind w:left="0"/>
        <w:jc w:val="both"/>
      </w:pPr>
      <w:r>
        <w:rPr>
          <w:rFonts w:ascii="Times New Roman"/>
          <w:b w:val="false"/>
          <w:i w:val="false"/>
          <w:color w:val="000000"/>
          <w:sz w:val="28"/>
        </w:rPr>
        <w:t>
      На начало 2023 года удельный вес общей площади жилищного фонда, оборудованного водоснабжением, достиг 98 %, канализацией – 74 %, центральным отоплением – 44 %, центральным горячим водоснабжением – 38 %, газом – 86 %.</w:t>
      </w:r>
    </w:p>
    <w:bookmarkEnd w:id="22"/>
    <w:bookmarkStart w:name="z742" w:id="23"/>
    <w:p>
      <w:pPr>
        <w:spacing w:after="0"/>
        <w:ind w:left="0"/>
        <w:jc w:val="left"/>
      </w:pPr>
      <w:r>
        <w:rPr>
          <w:rFonts w:ascii="Times New Roman"/>
          <w:b/>
          <w:i w:val="false"/>
          <w:color w:val="000000"/>
        </w:rPr>
        <w:t xml:space="preserve"> 2.1. Оценка текущего состояния коммунальной инфраструктуры</w:t>
      </w:r>
    </w:p>
    <w:bookmarkEnd w:id="23"/>
    <w:bookmarkStart w:name="z743" w:id="24"/>
    <w:p>
      <w:pPr>
        <w:spacing w:after="0"/>
        <w:ind w:left="0"/>
        <w:jc w:val="both"/>
      </w:pPr>
      <w:r>
        <w:rPr>
          <w:rFonts w:ascii="Times New Roman"/>
          <w:b w:val="false"/>
          <w:i w:val="false"/>
          <w:color w:val="000000"/>
          <w:sz w:val="28"/>
        </w:rPr>
        <w:t xml:space="preserve">
      </w:t>
      </w:r>
      <w:r>
        <w:rPr>
          <w:rFonts w:ascii="Times New Roman"/>
          <w:b w:val="false"/>
          <w:i/>
          <w:color w:val="000000"/>
          <w:sz w:val="28"/>
        </w:rPr>
        <w:t>1. Водоснабжение и водоотведение (канализация)</w:t>
      </w:r>
    </w:p>
    <w:bookmarkEnd w:id="24"/>
    <w:bookmarkStart w:name="z744" w:id="25"/>
    <w:p>
      <w:pPr>
        <w:spacing w:after="0"/>
        <w:ind w:left="0"/>
        <w:jc w:val="both"/>
      </w:pPr>
      <w:r>
        <w:rPr>
          <w:rFonts w:ascii="Times New Roman"/>
          <w:b w:val="false"/>
          <w:i w:val="false"/>
          <w:color w:val="000000"/>
          <w:sz w:val="28"/>
        </w:rPr>
        <w:t>
      Общая протяженность водопроводных сетей по республике увеличилась в период с 2019 по 2022 год на 12,3 тыс.км (2019г – 85,3 тыс.км; 2022г– 97,6 тыс.км), канализационных сетей (водоотведения) на 1,3 тыс.км (2019г – 15,4 тыс.км; 2022 г – 16,7 тыс.км).</w:t>
      </w:r>
    </w:p>
    <w:bookmarkEnd w:id="25"/>
    <w:bookmarkStart w:name="z745" w:id="26"/>
    <w:p>
      <w:pPr>
        <w:spacing w:after="0"/>
        <w:ind w:left="0"/>
        <w:jc w:val="both"/>
      </w:pPr>
      <w:r>
        <w:rPr>
          <w:rFonts w:ascii="Times New Roman"/>
          <w:b w:val="false"/>
          <w:i w:val="false"/>
          <w:color w:val="000000"/>
          <w:sz w:val="28"/>
        </w:rPr>
        <w:t>
      Доля водопроводных сетей, нуждающихся в замене, снизилась с 52 % в 2019 году до 43 % по итогам 2022 года и канализационных сетей (водоотведения) с 58 % в 2019 году до 55 % по итогам 2022 года.</w:t>
      </w:r>
    </w:p>
    <w:bookmarkEnd w:id="26"/>
    <w:bookmarkStart w:name="z746" w:id="27"/>
    <w:p>
      <w:pPr>
        <w:spacing w:after="0"/>
        <w:ind w:left="0"/>
        <w:jc w:val="both"/>
      </w:pPr>
      <w:r>
        <w:rPr>
          <w:rFonts w:ascii="Times New Roman"/>
          <w:b w:val="false"/>
          <w:i w:val="false"/>
          <w:color w:val="000000"/>
          <w:sz w:val="28"/>
        </w:rPr>
        <w:t>
      В некоторых регионах уровень износа водопроводных сетей существенно выше республиканского значения (в пределах 51-58 %). Наиболее высокий износ водопроводных сетей, нуждающихся в замене, отмечается по городу Алматы, Алматинской, Восточно-Казахстанской, Акмолинской, Улытау, Абай и Карагандинской областям.</w:t>
      </w:r>
    </w:p>
    <w:bookmarkEnd w:id="27"/>
    <w:bookmarkStart w:name="z747" w:id="28"/>
    <w:p>
      <w:pPr>
        <w:spacing w:after="0"/>
        <w:ind w:left="0"/>
        <w:jc w:val="both"/>
      </w:pPr>
      <w:r>
        <w:rPr>
          <w:rFonts w:ascii="Times New Roman"/>
          <w:b w:val="false"/>
          <w:i w:val="false"/>
          <w:color w:val="000000"/>
          <w:sz w:val="28"/>
        </w:rPr>
        <w:t>
      Наиболее высокий износ канализационных сетей отмечается по Карагандинской (68 %), Алматинской (67 %), Восточно-Казахстанской (72 %), Павлодарской (74 %), Ұлытау (75 %) областях.</w:t>
      </w:r>
    </w:p>
    <w:bookmarkEnd w:id="28"/>
    <w:bookmarkStart w:name="z748" w:id="29"/>
    <w:p>
      <w:pPr>
        <w:spacing w:after="0"/>
        <w:ind w:left="0"/>
        <w:jc w:val="both"/>
      </w:pPr>
      <w:r>
        <w:rPr>
          <w:rFonts w:ascii="Times New Roman"/>
          <w:b w:val="false"/>
          <w:i w:val="false"/>
          <w:color w:val="000000"/>
          <w:sz w:val="28"/>
        </w:rPr>
        <w:t>
      За 2019 – 2022 годы объем инвестиций в основной капитал систем водоснабжения и водоотведения увеличился с 303,7 млрд тенге до 484,2 млрд тенге, т.е. в 1,6 раз. За эти годы построено и реконструировано 17,9 тыс. км. сетей водоснабжения и водоотведения.</w:t>
      </w:r>
    </w:p>
    <w:bookmarkEnd w:id="29"/>
    <w:bookmarkStart w:name="z749" w:id="30"/>
    <w:p>
      <w:pPr>
        <w:spacing w:after="0"/>
        <w:ind w:left="0"/>
        <w:jc w:val="both"/>
      </w:pPr>
      <w:r>
        <w:rPr>
          <w:rFonts w:ascii="Times New Roman"/>
          <w:b w:val="false"/>
          <w:i w:val="false"/>
          <w:color w:val="000000"/>
          <w:sz w:val="28"/>
        </w:rPr>
        <w:t xml:space="preserve">
      Доступ горожан к услугам водоснабжения в период с 2019 по 2022 год возрос на 1,2 % и составил 98,4 % (2019г – 97,2 %, 2020г -97,5 %, 2021г – 98,1 %). </w:t>
      </w:r>
    </w:p>
    <w:bookmarkEnd w:id="30"/>
    <w:bookmarkStart w:name="z750" w:id="31"/>
    <w:p>
      <w:pPr>
        <w:spacing w:after="0"/>
        <w:ind w:left="0"/>
        <w:jc w:val="both"/>
      </w:pPr>
      <w:r>
        <w:rPr>
          <w:rFonts w:ascii="Times New Roman"/>
          <w:b w:val="false"/>
          <w:i w:val="false"/>
          <w:color w:val="000000"/>
          <w:sz w:val="28"/>
        </w:rPr>
        <w:t xml:space="preserve">
      Уровень доступа сельчан к услугам водоснабжения возрос на 8,1 % и составил 94,5 % (2019г – 86,4 %, 2020г - 90,1 %, 2021г -93 %). </w:t>
      </w:r>
    </w:p>
    <w:bookmarkEnd w:id="31"/>
    <w:bookmarkStart w:name="z751" w:id="32"/>
    <w:p>
      <w:pPr>
        <w:spacing w:after="0"/>
        <w:ind w:left="0"/>
        <w:jc w:val="both"/>
      </w:pPr>
      <w:r>
        <w:rPr>
          <w:rFonts w:ascii="Times New Roman"/>
          <w:b w:val="false"/>
          <w:i w:val="false"/>
          <w:color w:val="000000"/>
          <w:sz w:val="28"/>
        </w:rPr>
        <w:t>
      Централизованным водоснабжением обеспечены жители 4159 сельских населенных пунктов и в 741 селе установлены комплексные блок - модули (далее – КБМ).</w:t>
      </w:r>
    </w:p>
    <w:bookmarkEnd w:id="32"/>
    <w:bookmarkStart w:name="z752" w:id="33"/>
    <w:p>
      <w:pPr>
        <w:spacing w:after="0"/>
        <w:ind w:left="0"/>
        <w:jc w:val="both"/>
      </w:pPr>
      <w:r>
        <w:rPr>
          <w:rFonts w:ascii="Times New Roman"/>
          <w:b w:val="false"/>
          <w:i w:val="false"/>
          <w:color w:val="000000"/>
          <w:sz w:val="28"/>
        </w:rPr>
        <w:t>
      76 групповых водопроводов протяженностью 15,6 тыс. км обеспечивают качественной питьевой водой 655 сельских населенных пунктов с общей численностью 1,4 млн человек.</w:t>
      </w:r>
    </w:p>
    <w:bookmarkEnd w:id="33"/>
    <w:bookmarkStart w:name="z753" w:id="34"/>
    <w:p>
      <w:pPr>
        <w:spacing w:after="0"/>
        <w:ind w:left="0"/>
        <w:jc w:val="both"/>
      </w:pPr>
      <w:r>
        <w:rPr>
          <w:rFonts w:ascii="Times New Roman"/>
          <w:b w:val="false"/>
          <w:i w:val="false"/>
          <w:color w:val="000000"/>
          <w:sz w:val="28"/>
        </w:rPr>
        <w:t>
      Объем потребляемой населением воды по данным статистики по итогам 2021 года в сравнении с 2020 годом увеличился на 6,2 % и составил 609,2 тыс. куб. м. (2020г – 573,7 млн куб.м.). Среднесуточный отпуск воды в расчете на 1 жителя составил 87,8 литра. Доля очищенных стоков в общем пропуске сточных вод составила 84,5 % (2019г – 84,5 %, 2020г – 84,7 %).</w:t>
      </w:r>
    </w:p>
    <w:bookmarkEnd w:id="34"/>
    <w:bookmarkStart w:name="z754" w:id="35"/>
    <w:p>
      <w:pPr>
        <w:spacing w:after="0"/>
        <w:ind w:left="0"/>
        <w:jc w:val="both"/>
      </w:pPr>
      <w:r>
        <w:rPr>
          <w:rFonts w:ascii="Times New Roman"/>
          <w:b w:val="false"/>
          <w:i w:val="false"/>
          <w:color w:val="000000"/>
          <w:sz w:val="28"/>
        </w:rPr>
        <w:t xml:space="preserve">
      На начало 2022 года по республике функционировало 558 предприятий, оказывающих услуги по сбору, обработке и распределению воды, и сбору, очистке сточных вод, из них 155 (27,8 %) находится в государственной коммунальной собственности, 403 (72,2 %) – в частной собственности. </w:t>
      </w:r>
    </w:p>
    <w:bookmarkEnd w:id="35"/>
    <w:bookmarkStart w:name="z755" w:id="36"/>
    <w:p>
      <w:pPr>
        <w:spacing w:after="0"/>
        <w:ind w:left="0"/>
        <w:jc w:val="both"/>
      </w:pPr>
      <w:r>
        <w:rPr>
          <w:rFonts w:ascii="Times New Roman"/>
          <w:b w:val="false"/>
          <w:i w:val="false"/>
          <w:color w:val="000000"/>
          <w:sz w:val="28"/>
        </w:rPr>
        <w:t>
      В управлении этих предприятий находится 623 сооружения системы водоотведения и 271 отдельная сеть систем водоотведения, в том числе 245 очистных сооружения. Протяженность главных коллекторов составила 4,9 тыс. км.</w:t>
      </w:r>
    </w:p>
    <w:bookmarkEnd w:id="36"/>
    <w:bookmarkStart w:name="z756" w:id="37"/>
    <w:p>
      <w:pPr>
        <w:spacing w:after="0"/>
        <w:ind w:left="0"/>
        <w:jc w:val="both"/>
      </w:pPr>
      <w:r>
        <w:rPr>
          <w:rFonts w:ascii="Times New Roman"/>
          <w:b w:val="false"/>
          <w:i w:val="false"/>
          <w:color w:val="000000"/>
          <w:sz w:val="28"/>
        </w:rPr>
        <w:t>
      Вместе с тем на сегодня в системе коммунальной инфраструктуры наиболее острыми вопросами остаются высокий износ сетей и неудовлетворительное состояние канализационно-очистных сооружений (далее – КОС), обеспечивающих качественную очистку сточных вод.</w:t>
      </w:r>
    </w:p>
    <w:bookmarkEnd w:id="37"/>
    <w:bookmarkStart w:name="z757" w:id="38"/>
    <w:p>
      <w:pPr>
        <w:spacing w:after="0"/>
        <w:ind w:left="0"/>
        <w:jc w:val="both"/>
      </w:pPr>
      <w:r>
        <w:rPr>
          <w:rFonts w:ascii="Times New Roman"/>
          <w:b w:val="false"/>
          <w:i w:val="false"/>
          <w:color w:val="000000"/>
          <w:sz w:val="28"/>
        </w:rPr>
        <w:t>
      Всего по республике из 89 городов в 68 требуются новое строительство, модернизация и реконструкция КОС.</w:t>
      </w:r>
    </w:p>
    <w:bookmarkEnd w:id="38"/>
    <w:bookmarkStart w:name="z758" w:id="39"/>
    <w:p>
      <w:pPr>
        <w:spacing w:after="0"/>
        <w:ind w:left="0"/>
        <w:jc w:val="both"/>
      </w:pPr>
      <w:r>
        <w:rPr>
          <w:rFonts w:ascii="Times New Roman"/>
          <w:b w:val="false"/>
          <w:i w:val="false"/>
          <w:color w:val="000000"/>
          <w:sz w:val="28"/>
        </w:rPr>
        <w:t xml:space="preserve">
      Актуальными вопросами являются нехватка квалифицированных кадров и необеспеченность сектора трудовыми ресурсами из-за низкого уровня заработной платы. </w:t>
      </w:r>
    </w:p>
    <w:bookmarkEnd w:id="39"/>
    <w:bookmarkStart w:name="z759" w:id="40"/>
    <w:p>
      <w:pPr>
        <w:spacing w:after="0"/>
        <w:ind w:left="0"/>
        <w:jc w:val="both"/>
      </w:pPr>
      <w:r>
        <w:rPr>
          <w:rFonts w:ascii="Times New Roman"/>
          <w:b w:val="false"/>
          <w:i w:val="false"/>
          <w:color w:val="000000"/>
          <w:sz w:val="28"/>
        </w:rPr>
        <w:t xml:space="preserve">
      </w:t>
      </w:r>
      <w:r>
        <w:rPr>
          <w:rFonts w:ascii="Times New Roman"/>
          <w:b w:val="false"/>
          <w:i/>
          <w:color w:val="000000"/>
          <w:sz w:val="28"/>
        </w:rPr>
        <w:t>2. Теплоснабжение</w:t>
      </w:r>
    </w:p>
    <w:bookmarkEnd w:id="40"/>
    <w:bookmarkStart w:name="z760" w:id="41"/>
    <w:p>
      <w:pPr>
        <w:spacing w:after="0"/>
        <w:ind w:left="0"/>
        <w:jc w:val="both"/>
      </w:pPr>
      <w:r>
        <w:rPr>
          <w:rFonts w:ascii="Times New Roman"/>
          <w:b w:val="false"/>
          <w:i w:val="false"/>
          <w:color w:val="000000"/>
          <w:sz w:val="28"/>
        </w:rPr>
        <w:t>
      Общая протяженность тепловых сетей по республике увеличилась в период с 2019 по 2022 год на 0,3 тыс.км (2019г – 13,6 тыс.км; 2022г – 13,9 тыс.км).</w:t>
      </w:r>
    </w:p>
    <w:bookmarkEnd w:id="41"/>
    <w:bookmarkStart w:name="z761" w:id="42"/>
    <w:p>
      <w:pPr>
        <w:spacing w:after="0"/>
        <w:ind w:left="0"/>
        <w:jc w:val="both"/>
      </w:pPr>
      <w:r>
        <w:rPr>
          <w:rFonts w:ascii="Times New Roman"/>
          <w:b w:val="false"/>
          <w:i w:val="false"/>
          <w:color w:val="000000"/>
          <w:sz w:val="28"/>
        </w:rPr>
        <w:t>
      Доля сетей, требующих ремонта, снизилась в период с 2019 по 2022 года с 61 % до 54 %.</w:t>
      </w:r>
    </w:p>
    <w:bookmarkEnd w:id="42"/>
    <w:bookmarkStart w:name="z762" w:id="43"/>
    <w:p>
      <w:pPr>
        <w:spacing w:after="0"/>
        <w:ind w:left="0"/>
        <w:jc w:val="both"/>
      </w:pPr>
      <w:r>
        <w:rPr>
          <w:rFonts w:ascii="Times New Roman"/>
          <w:b w:val="false"/>
          <w:i w:val="false"/>
          <w:color w:val="000000"/>
          <w:sz w:val="28"/>
        </w:rPr>
        <w:t xml:space="preserve">
      Сектор снабжения тепловой энергией представлен энергоснабжающими организациями, которые осуществляют покупку тепловой энергии у теплопроизводящих организаций и последующую ее реализацию потребителям. </w:t>
      </w:r>
    </w:p>
    <w:bookmarkEnd w:id="43"/>
    <w:bookmarkStart w:name="z763" w:id="44"/>
    <w:p>
      <w:pPr>
        <w:spacing w:after="0"/>
        <w:ind w:left="0"/>
        <w:jc w:val="both"/>
      </w:pPr>
      <w:r>
        <w:rPr>
          <w:rFonts w:ascii="Times New Roman"/>
          <w:b w:val="false"/>
          <w:i w:val="false"/>
          <w:color w:val="000000"/>
          <w:sz w:val="28"/>
        </w:rPr>
        <w:t>
      В большинстве регионов энергопередающие организации осуществляют в том числе и деятельность по энергоснабжению.</w:t>
      </w:r>
    </w:p>
    <w:bookmarkEnd w:id="44"/>
    <w:bookmarkStart w:name="z764" w:id="45"/>
    <w:p>
      <w:pPr>
        <w:spacing w:after="0"/>
        <w:ind w:left="0"/>
        <w:jc w:val="both"/>
      </w:pPr>
      <w:r>
        <w:rPr>
          <w:rFonts w:ascii="Times New Roman"/>
          <w:b w:val="false"/>
          <w:i w:val="false"/>
          <w:color w:val="000000"/>
          <w:sz w:val="28"/>
        </w:rPr>
        <w:t>
      Снабжение тепловой энергией осуществляется только в системах централизованного и локального теплоснабжения.</w:t>
      </w:r>
    </w:p>
    <w:bookmarkEnd w:id="45"/>
    <w:bookmarkStart w:name="z765" w:id="46"/>
    <w:p>
      <w:pPr>
        <w:spacing w:after="0"/>
        <w:ind w:left="0"/>
        <w:jc w:val="both"/>
      </w:pPr>
      <w:r>
        <w:rPr>
          <w:rFonts w:ascii="Times New Roman"/>
          <w:b w:val="false"/>
          <w:i w:val="false"/>
          <w:color w:val="000000"/>
          <w:sz w:val="28"/>
        </w:rPr>
        <w:t>
      Тепловые источники в централизованных и локальных системах теплоснабжения разделяются на теплоэлектроцентрали и котельные.</w:t>
      </w:r>
    </w:p>
    <w:bookmarkEnd w:id="46"/>
    <w:bookmarkStart w:name="z766" w:id="47"/>
    <w:p>
      <w:pPr>
        <w:spacing w:after="0"/>
        <w:ind w:left="0"/>
        <w:jc w:val="both"/>
      </w:pPr>
      <w:r>
        <w:rPr>
          <w:rFonts w:ascii="Times New Roman"/>
          <w:b w:val="false"/>
          <w:i w:val="false"/>
          <w:color w:val="000000"/>
          <w:sz w:val="28"/>
        </w:rPr>
        <w:t>
      В республике в 2021 году количество источников теплоснабжения составило – 2 801 единиц, у автономных тепловых источников – 425 единиц.</w:t>
      </w:r>
    </w:p>
    <w:bookmarkEnd w:id="47"/>
    <w:bookmarkStart w:name="z767" w:id="48"/>
    <w:p>
      <w:pPr>
        <w:spacing w:after="0"/>
        <w:ind w:left="0"/>
        <w:jc w:val="both"/>
      </w:pPr>
      <w:r>
        <w:rPr>
          <w:rFonts w:ascii="Times New Roman"/>
          <w:b w:val="false"/>
          <w:i w:val="false"/>
          <w:color w:val="000000"/>
          <w:sz w:val="28"/>
        </w:rPr>
        <w:t>
      Общая установленная мощность тепловых источников Казахстана на 1 января 2023 года составляет 37566,7 гигакалорий в час.</w:t>
      </w:r>
    </w:p>
    <w:bookmarkEnd w:id="48"/>
    <w:bookmarkStart w:name="z768" w:id="49"/>
    <w:p>
      <w:pPr>
        <w:spacing w:after="0"/>
        <w:ind w:left="0"/>
        <w:jc w:val="both"/>
      </w:pPr>
      <w:r>
        <w:rPr>
          <w:rFonts w:ascii="Times New Roman"/>
          <w:b w:val="false"/>
          <w:i w:val="false"/>
          <w:color w:val="000000"/>
          <w:sz w:val="28"/>
        </w:rPr>
        <w:t xml:space="preserve">
      В 2022 году выработка тепловой энергии составила 95,6 млн Гкал, из них 55,9 млнГкал приходится на тепловые электростанции и 32,6 млн Гкал – на котельные. </w:t>
      </w:r>
    </w:p>
    <w:bookmarkEnd w:id="49"/>
    <w:bookmarkStart w:name="z769" w:id="50"/>
    <w:p>
      <w:pPr>
        <w:spacing w:after="0"/>
        <w:ind w:left="0"/>
        <w:jc w:val="both"/>
      </w:pPr>
      <w:r>
        <w:rPr>
          <w:rFonts w:ascii="Times New Roman"/>
          <w:b w:val="false"/>
          <w:i w:val="false"/>
          <w:color w:val="000000"/>
          <w:sz w:val="28"/>
        </w:rPr>
        <w:t xml:space="preserve">
      Количество абонентов, подключенных к тепловым сетям – 1 547 002, из них бытовые потребители (домашние хозяйства) – 1 486 373. </w:t>
      </w:r>
    </w:p>
    <w:bookmarkEnd w:id="50"/>
    <w:bookmarkStart w:name="z770" w:id="51"/>
    <w:p>
      <w:pPr>
        <w:spacing w:after="0"/>
        <w:ind w:left="0"/>
        <w:jc w:val="both"/>
      </w:pPr>
      <w:r>
        <w:rPr>
          <w:rFonts w:ascii="Times New Roman"/>
          <w:b w:val="false"/>
          <w:i w:val="false"/>
          <w:color w:val="000000"/>
          <w:sz w:val="28"/>
        </w:rPr>
        <w:t>
      В 2019 – 2022 годы через механизмы кредитования и субсидирования реализовано 60 проектов по строительству и реконструкции 220,7 километров сетей тепло-, водоснабжения и водоотведения.</w:t>
      </w:r>
    </w:p>
    <w:bookmarkEnd w:id="51"/>
    <w:bookmarkStart w:name="z771" w:id="52"/>
    <w:p>
      <w:pPr>
        <w:spacing w:after="0"/>
        <w:ind w:left="0"/>
        <w:jc w:val="both"/>
      </w:pPr>
      <w:r>
        <w:rPr>
          <w:rFonts w:ascii="Times New Roman"/>
          <w:b w:val="false"/>
          <w:i w:val="false"/>
          <w:color w:val="000000"/>
          <w:sz w:val="28"/>
        </w:rPr>
        <w:t>
      В результате финансирования проектов износ сетей тепло-, водоснабжения и водоотведения снизился с 57 % в 2019 году до 51 % к 2022 году, а количество аварий на 14 % (2017г – 44 аварий, 2021г – 38 аварий).</w:t>
      </w:r>
    </w:p>
    <w:bookmarkEnd w:id="52"/>
    <w:bookmarkStart w:name="z772" w:id="53"/>
    <w:p>
      <w:pPr>
        <w:spacing w:after="0"/>
        <w:ind w:left="0"/>
        <w:jc w:val="both"/>
      </w:pPr>
      <w:r>
        <w:rPr>
          <w:rFonts w:ascii="Times New Roman"/>
          <w:b w:val="false"/>
          <w:i w:val="false"/>
          <w:color w:val="000000"/>
          <w:sz w:val="28"/>
        </w:rPr>
        <w:t xml:space="preserve">
      В целях должного учета потребляемых ресурсов и повышения энергоэффективности ведется работа по установке общедомовых и индивидуальных приборов учета тепловой энергии и воды. </w:t>
      </w:r>
    </w:p>
    <w:bookmarkEnd w:id="53"/>
    <w:bookmarkStart w:name="z773" w:id="54"/>
    <w:p>
      <w:pPr>
        <w:spacing w:after="0"/>
        <w:ind w:left="0"/>
        <w:jc w:val="both"/>
      </w:pPr>
      <w:r>
        <w:rPr>
          <w:rFonts w:ascii="Times New Roman"/>
          <w:b w:val="false"/>
          <w:i w:val="false"/>
          <w:color w:val="000000"/>
          <w:sz w:val="28"/>
        </w:rPr>
        <w:t xml:space="preserve">
      На начало 2023 года жилищный фонд республики обеспечен приборами учета тепловой энергиии воды на 76 %. </w:t>
      </w:r>
    </w:p>
    <w:bookmarkEnd w:id="54"/>
    <w:bookmarkStart w:name="z774" w:id="55"/>
    <w:p>
      <w:pPr>
        <w:spacing w:after="0"/>
        <w:ind w:left="0"/>
        <w:jc w:val="both"/>
      </w:pPr>
      <w:r>
        <w:rPr>
          <w:rFonts w:ascii="Times New Roman"/>
          <w:b w:val="false"/>
          <w:i w:val="false"/>
          <w:color w:val="000000"/>
          <w:sz w:val="28"/>
        </w:rPr>
        <w:t xml:space="preserve">
      Низкий уровень обеспеченности общедомовыми приборами учета тепловой энергии и воды в пределах 21-54 % отмечается по Кызылординской, Восточно-Казахстанской, Павлодарской, Карагандинской, Абай, Жетісу областях. </w:t>
      </w:r>
    </w:p>
    <w:bookmarkEnd w:id="55"/>
    <w:bookmarkStart w:name="z775" w:id="56"/>
    <w:p>
      <w:pPr>
        <w:spacing w:after="0"/>
        <w:ind w:left="0"/>
        <w:jc w:val="both"/>
      </w:pPr>
      <w:r>
        <w:rPr>
          <w:rFonts w:ascii="Times New Roman"/>
          <w:b w:val="false"/>
          <w:i w:val="false"/>
          <w:color w:val="000000"/>
          <w:sz w:val="28"/>
        </w:rPr>
        <w:t xml:space="preserve">
      По оценкам экспертов общая потребность на сегодня в общедомовых приборах учета тепловой энергии и воды составляет 18,7 тыс. единиц, установлено - 59,5 тыс. единиц. </w:t>
      </w:r>
    </w:p>
    <w:bookmarkEnd w:id="56"/>
    <w:bookmarkStart w:name="z776"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3.Электроснабжение </w:t>
      </w:r>
    </w:p>
    <w:bookmarkEnd w:id="57"/>
    <w:bookmarkStart w:name="z777" w:id="58"/>
    <w:p>
      <w:pPr>
        <w:spacing w:after="0"/>
        <w:ind w:left="0"/>
        <w:jc w:val="both"/>
      </w:pPr>
      <w:r>
        <w:rPr>
          <w:rFonts w:ascii="Times New Roman"/>
          <w:b w:val="false"/>
          <w:i w:val="false"/>
          <w:color w:val="000000"/>
          <w:sz w:val="28"/>
        </w:rPr>
        <w:t>
      Установленная мощность электростанций Единой энергетической системы Республики Казахстан по состоянию на 1 января 2023года составила 24 524 МВт, располагаемая мощность – 19 024 МВт.</w:t>
      </w:r>
    </w:p>
    <w:bookmarkEnd w:id="58"/>
    <w:bookmarkStart w:name="z778" w:id="59"/>
    <w:p>
      <w:pPr>
        <w:spacing w:after="0"/>
        <w:ind w:left="0"/>
        <w:jc w:val="both"/>
      </w:pPr>
      <w:r>
        <w:rPr>
          <w:rFonts w:ascii="Times New Roman"/>
          <w:b w:val="false"/>
          <w:i w:val="false"/>
          <w:color w:val="000000"/>
          <w:sz w:val="28"/>
        </w:rPr>
        <w:t>
      Производство электроэнергии в стране осуществляют 204 электрические станций различной формы собственности. Выработано электроэнергии в 2022 году 113 млрд кВт/ч, из них в жилищном секторе использовано 14,8 млрд кВт*ч.</w:t>
      </w:r>
    </w:p>
    <w:bookmarkEnd w:id="59"/>
    <w:bookmarkStart w:name="z779" w:id="60"/>
    <w:p>
      <w:pPr>
        <w:spacing w:after="0"/>
        <w:ind w:left="0"/>
        <w:jc w:val="both"/>
      </w:pPr>
      <w:r>
        <w:rPr>
          <w:rFonts w:ascii="Times New Roman"/>
          <w:b w:val="false"/>
          <w:i w:val="false"/>
          <w:color w:val="000000"/>
          <w:sz w:val="28"/>
        </w:rPr>
        <w:t xml:space="preserve">
      В сфере электроснабжения 100 % уровень обеспеченности приборами учета, но большинство из них старого образца и не соответствует энергоэффективным требованиям. </w:t>
      </w:r>
    </w:p>
    <w:bookmarkEnd w:id="60"/>
    <w:bookmarkStart w:name="z780" w:id="61"/>
    <w:p>
      <w:pPr>
        <w:spacing w:after="0"/>
        <w:ind w:left="0"/>
        <w:jc w:val="both"/>
      </w:pPr>
      <w:r>
        <w:rPr>
          <w:rFonts w:ascii="Times New Roman"/>
          <w:b w:val="false"/>
          <w:i w:val="false"/>
          <w:color w:val="000000"/>
          <w:sz w:val="28"/>
        </w:rPr>
        <w:t>
      Современные бытовые приборы и электроустановки, работающие на минимальных токах, не учитываются индукционными приборами учета, механизм которых имеет большую погрешность при отрицательных температурах наружного воздуха, характерных для большей части территории страны, что влечет к образованию коммерческих потерь во внутридомовых сетях, а при некоторой изношенности счетного устройства создает погрешность самохода.</w:t>
      </w:r>
    </w:p>
    <w:bookmarkEnd w:id="61"/>
    <w:bookmarkStart w:name="z781" w:id="62"/>
    <w:p>
      <w:pPr>
        <w:spacing w:after="0"/>
        <w:ind w:left="0"/>
        <w:jc w:val="both"/>
      </w:pPr>
      <w:r>
        <w:rPr>
          <w:rFonts w:ascii="Times New Roman"/>
          <w:b w:val="false"/>
          <w:i w:val="false"/>
          <w:color w:val="000000"/>
          <w:sz w:val="28"/>
        </w:rPr>
        <w:t>
      В настоящий момент индукционные приборы учета не исключены из государственного реестра средств измерений, принимаются к поверке и как следствие ведется их дальнейшая эксплуатация. В то же время требуется данные модели приборов учета поэтапно выводить из эксплуатации с последующей установкой приборов с дистанционным снятием показаний.</w:t>
      </w:r>
    </w:p>
    <w:bookmarkEnd w:id="62"/>
    <w:bookmarkStart w:name="z782" w:id="63"/>
    <w:p>
      <w:pPr>
        <w:spacing w:after="0"/>
        <w:ind w:left="0"/>
        <w:jc w:val="both"/>
      </w:pPr>
      <w:r>
        <w:rPr>
          <w:rFonts w:ascii="Times New Roman"/>
          <w:b w:val="false"/>
          <w:i w:val="false"/>
          <w:color w:val="000000"/>
          <w:sz w:val="28"/>
        </w:rPr>
        <w:t>
      4. Газоснабжение</w:t>
      </w:r>
    </w:p>
    <w:bookmarkEnd w:id="63"/>
    <w:bookmarkStart w:name="z783" w:id="64"/>
    <w:p>
      <w:pPr>
        <w:spacing w:after="0"/>
        <w:ind w:left="0"/>
        <w:jc w:val="both"/>
      </w:pPr>
      <w:r>
        <w:rPr>
          <w:rFonts w:ascii="Times New Roman"/>
          <w:b w:val="false"/>
          <w:i w:val="false"/>
          <w:color w:val="000000"/>
          <w:sz w:val="28"/>
        </w:rPr>
        <w:t>
      Газотранспортная система страны имеет разветвленную инфраструктуру магистральных газопроводов общей протяженностью 20,6 тысяч километров с пропускной способностью 255 миллиардов кубических метров газа в год и газораспределительных сетей протяженностью более 59 тысяч километров, обеспечивающую прокачку газа для населения западного, южного и центрального регионов страны, а также обладает перспективным транзитным потенциалом для транспортировки газа с Узбекистана и Туркменистана (для России и Китая).</w:t>
      </w:r>
    </w:p>
    <w:bookmarkEnd w:id="64"/>
    <w:bookmarkStart w:name="z784" w:id="65"/>
    <w:p>
      <w:pPr>
        <w:spacing w:after="0"/>
        <w:ind w:left="0"/>
        <w:jc w:val="both"/>
      </w:pPr>
      <w:r>
        <w:rPr>
          <w:rFonts w:ascii="Times New Roman"/>
          <w:b w:val="false"/>
          <w:i w:val="false"/>
          <w:color w:val="000000"/>
          <w:sz w:val="28"/>
        </w:rPr>
        <w:t>
      Расширение сети газопроводов является одной из целей государственной политики развития инфраструктуры. Планируется к 2030 году охватить газовой сетью город Астану, Акмолинскую и Карагандинскую области</w:t>
      </w:r>
    </w:p>
    <w:bookmarkEnd w:id="65"/>
    <w:bookmarkStart w:name="z785" w:id="66"/>
    <w:p>
      <w:pPr>
        <w:spacing w:after="0"/>
        <w:ind w:left="0"/>
        <w:jc w:val="both"/>
      </w:pPr>
      <w:r>
        <w:rPr>
          <w:rFonts w:ascii="Times New Roman"/>
          <w:b w:val="false"/>
          <w:i w:val="false"/>
          <w:color w:val="000000"/>
          <w:sz w:val="28"/>
        </w:rPr>
        <w:t>
      Без доступа к газовым сетям остаются три области: Павлодарская, Северо-Казахстанская и Восточно-Казахстанская.</w:t>
      </w:r>
    </w:p>
    <w:bookmarkEnd w:id="66"/>
    <w:bookmarkStart w:name="z786" w:id="67"/>
    <w:p>
      <w:pPr>
        <w:spacing w:after="0"/>
        <w:ind w:left="0"/>
        <w:jc w:val="both"/>
      </w:pPr>
      <w:r>
        <w:rPr>
          <w:rFonts w:ascii="Times New Roman"/>
          <w:b w:val="false"/>
          <w:i w:val="false"/>
          <w:color w:val="000000"/>
          <w:sz w:val="28"/>
        </w:rPr>
        <w:t>
      По состоянию на 1 января 2023 года уровень газификации населения страны достиг 59 % или 11,6 миллионов человек имеют доступ к природному газу (2020 год – 51,5 %, 2021 год – 57,67 %).</w:t>
      </w:r>
    </w:p>
    <w:bookmarkEnd w:id="67"/>
    <w:bookmarkStart w:name="z787" w:id="68"/>
    <w:p>
      <w:pPr>
        <w:spacing w:after="0"/>
        <w:ind w:left="0"/>
        <w:jc w:val="both"/>
      </w:pPr>
      <w:r>
        <w:rPr>
          <w:rFonts w:ascii="Times New Roman"/>
          <w:b w:val="false"/>
          <w:i w:val="false"/>
          <w:color w:val="000000"/>
          <w:sz w:val="28"/>
        </w:rPr>
        <w:t xml:space="preserve">
      Количество газорегуляторных пунктов составило 2 149 единиц, шкафных газорегуляторных пунктов - 93 672.Протяженность газовой сети составляет 34829,7 км, из них 22175,6 км внутриквартальные (внутридворовые) сети. </w:t>
      </w:r>
    </w:p>
    <w:bookmarkEnd w:id="68"/>
    <w:bookmarkStart w:name="z788" w:id="69"/>
    <w:p>
      <w:pPr>
        <w:spacing w:after="0"/>
        <w:ind w:left="0"/>
        <w:jc w:val="both"/>
      </w:pPr>
      <w:r>
        <w:rPr>
          <w:rFonts w:ascii="Times New Roman"/>
          <w:b w:val="false"/>
          <w:i w:val="false"/>
          <w:color w:val="000000"/>
          <w:sz w:val="28"/>
        </w:rPr>
        <w:t>
      В период с 2017 по 2021 годы построено 9 123,7 км газовой сетей.</w:t>
      </w:r>
    </w:p>
    <w:bookmarkEnd w:id="69"/>
    <w:bookmarkStart w:name="z789" w:id="70"/>
    <w:p>
      <w:pPr>
        <w:spacing w:after="0"/>
        <w:ind w:left="0"/>
        <w:jc w:val="both"/>
      </w:pPr>
      <w:r>
        <w:rPr>
          <w:rFonts w:ascii="Times New Roman"/>
          <w:b w:val="false"/>
          <w:i w:val="false"/>
          <w:color w:val="000000"/>
          <w:sz w:val="28"/>
        </w:rPr>
        <w:t>
      5.Утилизация твердых бытовых отходов</w:t>
      </w:r>
    </w:p>
    <w:bookmarkEnd w:id="70"/>
    <w:bookmarkStart w:name="z790" w:id="71"/>
    <w:p>
      <w:pPr>
        <w:spacing w:after="0"/>
        <w:ind w:left="0"/>
        <w:jc w:val="both"/>
      </w:pPr>
      <w:r>
        <w:rPr>
          <w:rFonts w:ascii="Times New Roman"/>
          <w:b w:val="false"/>
          <w:i w:val="false"/>
          <w:color w:val="000000"/>
          <w:sz w:val="28"/>
        </w:rPr>
        <w:t>
      В 2021 году по данным статистики по стране образовалось около 4,2 млн тонн твердых бытовых отходов (далее – ТБО), из которых 3,2 млн тонн составили коммунальные отходы, собранные специализированными предприятиями и индивидуальными предпринимателями по сбору и транспортировке коммунальных отходов, число которых составило 676 единиц.</w:t>
      </w:r>
    </w:p>
    <w:bookmarkEnd w:id="71"/>
    <w:bookmarkStart w:name="z791" w:id="72"/>
    <w:p>
      <w:pPr>
        <w:spacing w:after="0"/>
        <w:ind w:left="0"/>
        <w:jc w:val="both"/>
      </w:pPr>
      <w:r>
        <w:rPr>
          <w:rFonts w:ascii="Times New Roman"/>
          <w:b w:val="false"/>
          <w:i w:val="false"/>
          <w:color w:val="000000"/>
          <w:sz w:val="28"/>
        </w:rPr>
        <w:t>
      Основная доля приходится на отходы домашних хозяйств (65,6 %), 20,2 % составили отходы производства (приравненные к бытовым), 10,5 % – уличный мусор, 2,2 % – рыночные отходы.</w:t>
      </w:r>
    </w:p>
    <w:bookmarkEnd w:id="72"/>
    <w:bookmarkStart w:name="z792" w:id="73"/>
    <w:p>
      <w:pPr>
        <w:spacing w:after="0"/>
        <w:ind w:left="0"/>
        <w:jc w:val="both"/>
      </w:pPr>
      <w:r>
        <w:rPr>
          <w:rFonts w:ascii="Times New Roman"/>
          <w:b w:val="false"/>
          <w:i w:val="false"/>
          <w:color w:val="000000"/>
          <w:sz w:val="28"/>
        </w:rPr>
        <w:t>
      В городской местности основными генераторами коммунальных отходов являются не только домашние хозяйства, но также предприятия и организации.</w:t>
      </w:r>
    </w:p>
    <w:bookmarkEnd w:id="73"/>
    <w:bookmarkStart w:name="z793" w:id="74"/>
    <w:p>
      <w:pPr>
        <w:spacing w:after="0"/>
        <w:ind w:left="0"/>
        <w:jc w:val="both"/>
      </w:pPr>
      <w:r>
        <w:rPr>
          <w:rFonts w:ascii="Times New Roman"/>
          <w:b w:val="false"/>
          <w:i w:val="false"/>
          <w:color w:val="000000"/>
          <w:sz w:val="28"/>
        </w:rPr>
        <w:t xml:space="preserve">
      В целом доступ населения к услугам сбора и вывоза мусора является приемлемым только в крупных городах. Для малых городов, а также сельской местности характерна проблема отсутствия либо недостаточной степени оказания этих услуг и низкого качества услуг. </w:t>
      </w:r>
    </w:p>
    <w:bookmarkEnd w:id="74"/>
    <w:bookmarkStart w:name="z794" w:id="75"/>
    <w:p>
      <w:pPr>
        <w:spacing w:after="0"/>
        <w:ind w:left="0"/>
        <w:jc w:val="both"/>
      </w:pPr>
      <w:r>
        <w:rPr>
          <w:rFonts w:ascii="Times New Roman"/>
          <w:b w:val="false"/>
          <w:i w:val="false"/>
          <w:color w:val="000000"/>
          <w:sz w:val="28"/>
        </w:rPr>
        <w:t>
      Основная масса ТБО в Казахстане без разделения вывозится и складируется на открытых свалках, что является причиной загрязнения почв, поверхностных и грунтовых вод, атмосферного воздуха, а также появления неприятных запахов. По итогам 2022 года доля переработанных и утилизированных ТБО составила 26 % (2021г – 21,1 %.)</w:t>
      </w:r>
    </w:p>
    <w:bookmarkEnd w:id="75"/>
    <w:bookmarkStart w:name="z795" w:id="76"/>
    <w:p>
      <w:pPr>
        <w:spacing w:after="0"/>
        <w:ind w:left="0"/>
        <w:jc w:val="both"/>
      </w:pPr>
      <w:r>
        <w:rPr>
          <w:rFonts w:ascii="Times New Roman"/>
          <w:b w:val="false"/>
          <w:i w:val="false"/>
          <w:color w:val="000000"/>
          <w:sz w:val="28"/>
        </w:rPr>
        <w:t>
      По итогам космомониторинга в 2022 году выявлено 5683 несанкционированных мест размещения отходов (2021 г – 7328, 2020 г – 8884), из них ликвидировано 4325 (2021 г – 6740, 2020г -7147).</w:t>
      </w:r>
    </w:p>
    <w:bookmarkEnd w:id="76"/>
    <w:bookmarkStart w:name="z796" w:id="77"/>
    <w:p>
      <w:pPr>
        <w:spacing w:after="0"/>
        <w:ind w:left="0"/>
        <w:jc w:val="both"/>
      </w:pPr>
      <w:r>
        <w:rPr>
          <w:rFonts w:ascii="Times New Roman"/>
          <w:b w:val="false"/>
          <w:i w:val="false"/>
          <w:color w:val="000000"/>
          <w:sz w:val="28"/>
        </w:rPr>
        <w:t>
      Самое большое количество выявленных стихийных свалок наблюдается в Акмолинской – 830 (91 % ликвидировано), Карагандинской – 745 (98 % ликвидировано), Туркестанской – 428 (88 % ликвидировано) областях.</w:t>
      </w:r>
    </w:p>
    <w:bookmarkEnd w:id="77"/>
    <w:bookmarkStart w:name="z797" w:id="78"/>
    <w:p>
      <w:pPr>
        <w:spacing w:after="0"/>
        <w:ind w:left="0"/>
        <w:jc w:val="both"/>
      </w:pPr>
      <w:r>
        <w:rPr>
          <w:rFonts w:ascii="Times New Roman"/>
          <w:b w:val="false"/>
          <w:i w:val="false"/>
          <w:color w:val="000000"/>
          <w:sz w:val="28"/>
        </w:rPr>
        <w:t>
      Слабая работа по ликвидации проводится в областях Абай и Ұлытау.</w:t>
      </w:r>
    </w:p>
    <w:bookmarkEnd w:id="78"/>
    <w:bookmarkStart w:name="z798" w:id="79"/>
    <w:p>
      <w:pPr>
        <w:spacing w:after="0"/>
        <w:ind w:left="0"/>
        <w:jc w:val="both"/>
      </w:pPr>
      <w:r>
        <w:rPr>
          <w:rFonts w:ascii="Times New Roman"/>
          <w:b w:val="false"/>
          <w:i w:val="false"/>
          <w:color w:val="000000"/>
          <w:sz w:val="28"/>
        </w:rPr>
        <w:t>
      Отсутствие системы сортировки ТБО с привлечением населения, а также специализированных площадок и удаленность полигонов приводят к росту несанкционированных свалок. Недостаточное количество огражденных контейнерных площадок, а также износ контейнеров приводят к созданию антисанитарной обстановки вокруг многоэтажных домов.</w:t>
      </w:r>
    </w:p>
    <w:bookmarkEnd w:id="79"/>
    <w:bookmarkStart w:name="z799" w:id="80"/>
    <w:p>
      <w:pPr>
        <w:spacing w:after="0"/>
        <w:ind w:left="0"/>
        <w:jc w:val="both"/>
      </w:pPr>
      <w:r>
        <w:rPr>
          <w:rFonts w:ascii="Times New Roman"/>
          <w:b w:val="false"/>
          <w:i w:val="false"/>
          <w:color w:val="000000"/>
          <w:sz w:val="28"/>
        </w:rPr>
        <w:t>
      Значительную нагрузку на окружающую среду оказывают биологически разлагаемые отходы (далее – БО), поскольку при их разложении образуется свалочный газ, оказывающий воздействие на изменение климата, продукты гниения БО способствуют образованию патогенной микрофлоры. В настоящее время все БО свозятся на свалки без предварительного обезвреживания. Варианты технологических решений по утилизации этой части отходов связаны с объемами отходов и климатическими условиями. В случае увеличения объемов, образуемых БО, представляется возможным строительство биогазовых установок в комбинации с отходами, получаемыми при очистке сточных вод (отработанный активный ил канализационных очистных сооружений), так как безопасная и эффективная утилизация отработанного активного ила сама по себе является проблемой, стоящей перед большинством предприятий по очистке канализационных сточных вод.</w:t>
      </w:r>
    </w:p>
    <w:bookmarkEnd w:id="80"/>
    <w:bookmarkStart w:name="z800" w:id="81"/>
    <w:p>
      <w:pPr>
        <w:spacing w:after="0"/>
        <w:ind w:left="0"/>
        <w:jc w:val="both"/>
      </w:pPr>
      <w:r>
        <w:rPr>
          <w:rFonts w:ascii="Times New Roman"/>
          <w:b w:val="false"/>
          <w:i w:val="false"/>
          <w:color w:val="000000"/>
          <w:sz w:val="28"/>
        </w:rPr>
        <w:t>
      В целом по стране доля сортировки и переработки отходов крайне мала, и при этом не имеется мощностей для выработки "зеленой" энергии.</w:t>
      </w:r>
    </w:p>
    <w:bookmarkEnd w:id="81"/>
    <w:bookmarkStart w:name="z801" w:id="82"/>
    <w:p>
      <w:pPr>
        <w:spacing w:after="0"/>
        <w:ind w:left="0"/>
        <w:jc w:val="both"/>
      </w:pPr>
      <w:r>
        <w:rPr>
          <w:rFonts w:ascii="Times New Roman"/>
          <w:b w:val="false"/>
          <w:i w:val="false"/>
          <w:color w:val="000000"/>
          <w:sz w:val="28"/>
        </w:rPr>
        <w:t>
      Внедрение технологии раздельного сбора коммунальных отходов с использованием двух- и трехконтейнерной системы существенно сократит загрязнение окружающей среды и воздуха в окрестностях региона путем снижения образования токсичных газов на полигонах.</w:t>
      </w:r>
    </w:p>
    <w:bookmarkEnd w:id="82"/>
    <w:bookmarkStart w:name="z802" w:id="83"/>
    <w:p>
      <w:pPr>
        <w:spacing w:after="0"/>
        <w:ind w:left="0"/>
        <w:jc w:val="both"/>
      </w:pPr>
      <w:r>
        <w:rPr>
          <w:rFonts w:ascii="Times New Roman"/>
          <w:b w:val="false"/>
          <w:i w:val="false"/>
          <w:color w:val="000000"/>
          <w:sz w:val="28"/>
        </w:rPr>
        <w:t>
      В 2022 году раздельный сбор отходов на разных этапах внедрен в 142 населенных пунктах, сортировочный сбор в 103 населенных пунктах.</w:t>
      </w:r>
    </w:p>
    <w:bookmarkEnd w:id="83"/>
    <w:bookmarkStart w:name="z803" w:id="84"/>
    <w:p>
      <w:pPr>
        <w:spacing w:after="0"/>
        <w:ind w:left="0"/>
        <w:jc w:val="both"/>
      </w:pPr>
      <w:r>
        <w:rPr>
          <w:rFonts w:ascii="Times New Roman"/>
          <w:b w:val="false"/>
          <w:i w:val="false"/>
          <w:color w:val="000000"/>
          <w:sz w:val="28"/>
        </w:rPr>
        <w:t xml:space="preserve">
      В настоящее время в республике предпринимаются меры, направленные на снижение негативного воздействия отходов на окружающую среду. </w:t>
      </w:r>
    </w:p>
    <w:bookmarkEnd w:id="84"/>
    <w:bookmarkStart w:name="z804" w:id="85"/>
    <w:p>
      <w:pPr>
        <w:spacing w:after="0"/>
        <w:ind w:left="0"/>
        <w:jc w:val="both"/>
      </w:pPr>
      <w:r>
        <w:rPr>
          <w:rFonts w:ascii="Times New Roman"/>
          <w:b w:val="false"/>
          <w:i w:val="false"/>
          <w:color w:val="000000"/>
          <w:sz w:val="28"/>
        </w:rPr>
        <w:t>
      По республике функционируют 3019 полигонов, открыто 322 пункта по приему макулатуры на переработку.</w:t>
      </w:r>
    </w:p>
    <w:bookmarkEnd w:id="85"/>
    <w:bookmarkStart w:name="z805" w:id="86"/>
    <w:p>
      <w:pPr>
        <w:spacing w:after="0"/>
        <w:ind w:left="0"/>
        <w:jc w:val="both"/>
      </w:pPr>
      <w:r>
        <w:rPr>
          <w:rFonts w:ascii="Times New Roman"/>
          <w:b w:val="false"/>
          <w:i w:val="false"/>
          <w:color w:val="000000"/>
          <w:sz w:val="28"/>
        </w:rPr>
        <w:t>
      Основными проблемами наращивания и своевременного обновления коммунальной инфраструктуры являются:</w:t>
      </w:r>
    </w:p>
    <w:bookmarkEnd w:id="86"/>
    <w:bookmarkStart w:name="z806" w:id="87"/>
    <w:p>
      <w:pPr>
        <w:spacing w:after="0"/>
        <w:ind w:left="0"/>
        <w:jc w:val="both"/>
      </w:pPr>
      <w:r>
        <w:rPr>
          <w:rFonts w:ascii="Times New Roman"/>
          <w:b w:val="false"/>
          <w:i w:val="false"/>
          <w:color w:val="000000"/>
          <w:sz w:val="28"/>
        </w:rPr>
        <w:t>
      несоответствие действующих коммунальных тарифов реальным потребностям в финансовых ресурсах, необходимых для модернизации коммунальной инфраструктуры;</w:t>
      </w:r>
    </w:p>
    <w:bookmarkEnd w:id="87"/>
    <w:bookmarkStart w:name="z807" w:id="88"/>
    <w:p>
      <w:pPr>
        <w:spacing w:after="0"/>
        <w:ind w:left="0"/>
        <w:jc w:val="both"/>
      </w:pPr>
      <w:r>
        <w:rPr>
          <w:rFonts w:ascii="Times New Roman"/>
          <w:b w:val="false"/>
          <w:i w:val="false"/>
          <w:color w:val="000000"/>
          <w:sz w:val="28"/>
        </w:rPr>
        <w:t>
      непривлекательность для инвесторов систем и объектов коммунальной инфраструктуры в малых и средних городах с небольшим количеством потребителей;</w:t>
      </w:r>
    </w:p>
    <w:bookmarkEnd w:id="88"/>
    <w:bookmarkStart w:name="z808" w:id="89"/>
    <w:p>
      <w:pPr>
        <w:spacing w:after="0"/>
        <w:ind w:left="0"/>
        <w:jc w:val="both"/>
      </w:pPr>
      <w:r>
        <w:rPr>
          <w:rFonts w:ascii="Times New Roman"/>
          <w:b w:val="false"/>
          <w:i w:val="false"/>
          <w:color w:val="000000"/>
          <w:sz w:val="28"/>
        </w:rPr>
        <w:t>
      отсутствие квалифицированных кадров, достоверной информации по протяженности и состоянию сетей коммунальной инфраструктуры в разрезе регионов;</w:t>
      </w:r>
    </w:p>
    <w:bookmarkEnd w:id="89"/>
    <w:bookmarkStart w:name="z809" w:id="90"/>
    <w:p>
      <w:pPr>
        <w:spacing w:after="0"/>
        <w:ind w:left="0"/>
        <w:jc w:val="both"/>
      </w:pPr>
      <w:r>
        <w:rPr>
          <w:rFonts w:ascii="Times New Roman"/>
          <w:b w:val="false"/>
          <w:i w:val="false"/>
          <w:color w:val="000000"/>
          <w:sz w:val="28"/>
        </w:rPr>
        <w:t>
      низкая степень внедрения новых технологий в сфере ЖКХ;</w:t>
      </w:r>
    </w:p>
    <w:bookmarkEnd w:id="90"/>
    <w:bookmarkStart w:name="z810" w:id="91"/>
    <w:p>
      <w:pPr>
        <w:spacing w:after="0"/>
        <w:ind w:left="0"/>
        <w:jc w:val="both"/>
      </w:pPr>
      <w:r>
        <w:rPr>
          <w:rFonts w:ascii="Times New Roman"/>
          <w:b w:val="false"/>
          <w:i w:val="false"/>
          <w:color w:val="000000"/>
          <w:sz w:val="28"/>
        </w:rPr>
        <w:t>
      низкая степень информированности жителей о преимуществах новых технологий, систем учета потребления ресурсов.</w:t>
      </w:r>
    </w:p>
    <w:bookmarkEnd w:id="91"/>
    <w:bookmarkStart w:name="z811" w:id="92"/>
    <w:p>
      <w:pPr>
        <w:spacing w:after="0"/>
        <w:ind w:left="0"/>
        <w:jc w:val="left"/>
      </w:pPr>
      <w:r>
        <w:rPr>
          <w:rFonts w:ascii="Times New Roman"/>
          <w:b/>
          <w:i w:val="false"/>
          <w:color w:val="000000"/>
        </w:rPr>
        <w:t xml:space="preserve"> 2.2. Оценка состояния жилищной инфраструктуры</w:t>
      </w:r>
    </w:p>
    <w:bookmarkEnd w:id="92"/>
    <w:bookmarkStart w:name="z812" w:id="93"/>
    <w:p>
      <w:pPr>
        <w:spacing w:after="0"/>
        <w:ind w:left="0"/>
        <w:jc w:val="both"/>
      </w:pPr>
      <w:r>
        <w:rPr>
          <w:rFonts w:ascii="Times New Roman"/>
          <w:b w:val="false"/>
          <w:i w:val="false"/>
          <w:color w:val="000000"/>
          <w:sz w:val="28"/>
        </w:rPr>
        <w:t xml:space="preserve">
      </w:t>
      </w:r>
      <w:r>
        <w:rPr>
          <w:rFonts w:ascii="Times New Roman"/>
          <w:b w:val="false"/>
          <w:i/>
          <w:color w:val="000000"/>
          <w:sz w:val="28"/>
        </w:rPr>
        <w:t>1.Оценка</w:t>
      </w:r>
      <w:r>
        <w:rPr>
          <w:rFonts w:ascii="Times New Roman"/>
          <w:b w:val="false"/>
          <w:i w:val="false"/>
          <w:color w:val="000000"/>
          <w:sz w:val="28"/>
        </w:rPr>
        <w:t xml:space="preserve"> </w:t>
      </w:r>
      <w:r>
        <w:rPr>
          <w:rFonts w:ascii="Times New Roman"/>
          <w:b w:val="false"/>
          <w:i/>
          <w:color w:val="000000"/>
          <w:sz w:val="28"/>
        </w:rPr>
        <w:t>развития</w:t>
      </w:r>
      <w:r>
        <w:rPr>
          <w:rFonts w:ascii="Times New Roman"/>
          <w:b w:val="false"/>
          <w:i w:val="false"/>
          <w:color w:val="000000"/>
          <w:sz w:val="28"/>
        </w:rPr>
        <w:t xml:space="preserve"> </w:t>
      </w:r>
      <w:r>
        <w:rPr>
          <w:rFonts w:ascii="Times New Roman"/>
          <w:b w:val="false"/>
          <w:i/>
          <w:color w:val="000000"/>
          <w:sz w:val="28"/>
        </w:rPr>
        <w:t>жилищного</w:t>
      </w:r>
      <w:r>
        <w:rPr>
          <w:rFonts w:ascii="Times New Roman"/>
          <w:b w:val="false"/>
          <w:i w:val="false"/>
          <w:color w:val="000000"/>
          <w:sz w:val="28"/>
        </w:rPr>
        <w:t xml:space="preserve"> </w:t>
      </w:r>
      <w:r>
        <w:rPr>
          <w:rFonts w:ascii="Times New Roman"/>
          <w:b w:val="false"/>
          <w:i/>
          <w:color w:val="000000"/>
          <w:sz w:val="28"/>
        </w:rPr>
        <w:t>строительства</w:t>
      </w:r>
    </w:p>
    <w:bookmarkEnd w:id="93"/>
    <w:bookmarkStart w:name="z813" w:id="94"/>
    <w:p>
      <w:pPr>
        <w:spacing w:after="0"/>
        <w:ind w:left="0"/>
        <w:jc w:val="both"/>
      </w:pPr>
      <w:r>
        <w:rPr>
          <w:rFonts w:ascii="Times New Roman"/>
          <w:b w:val="false"/>
          <w:i w:val="false"/>
          <w:color w:val="000000"/>
          <w:sz w:val="28"/>
        </w:rPr>
        <w:t>
      В 2020 – 2022 годы по данным статистики по республике было введено в эксплуатацию 47,6 млн кв. м. нового жилья (420 тыс. жилищ), из них:</w:t>
      </w:r>
    </w:p>
    <w:bookmarkEnd w:id="94"/>
    <w:bookmarkStart w:name="z814" w:id="95"/>
    <w:p>
      <w:pPr>
        <w:spacing w:after="0"/>
        <w:ind w:left="0"/>
        <w:jc w:val="both"/>
      </w:pPr>
      <w:r>
        <w:rPr>
          <w:rFonts w:ascii="Times New Roman"/>
          <w:b w:val="false"/>
          <w:i w:val="false"/>
          <w:color w:val="000000"/>
          <w:sz w:val="28"/>
        </w:rPr>
        <w:t>
      в 2020 году – 15,3 млн кв. м. (140 тыс. жилищ), в том числе 3,5 млн кв.м в сельской местности;</w:t>
      </w:r>
    </w:p>
    <w:bookmarkEnd w:id="95"/>
    <w:bookmarkStart w:name="z815" w:id="96"/>
    <w:p>
      <w:pPr>
        <w:spacing w:after="0"/>
        <w:ind w:left="0"/>
        <w:jc w:val="both"/>
      </w:pPr>
      <w:r>
        <w:rPr>
          <w:rFonts w:ascii="Times New Roman"/>
          <w:b w:val="false"/>
          <w:i w:val="false"/>
          <w:color w:val="000000"/>
          <w:sz w:val="28"/>
        </w:rPr>
        <w:t>
      в 2021 году – 16,9 млн кв. м. (149 тыс. жилищ), в том числе 3,7 млн кв.м в сельской местности;</w:t>
      </w:r>
    </w:p>
    <w:bookmarkEnd w:id="96"/>
    <w:bookmarkStart w:name="z816" w:id="97"/>
    <w:p>
      <w:pPr>
        <w:spacing w:after="0"/>
        <w:ind w:left="0"/>
        <w:jc w:val="both"/>
      </w:pPr>
      <w:r>
        <w:rPr>
          <w:rFonts w:ascii="Times New Roman"/>
          <w:b w:val="false"/>
          <w:i w:val="false"/>
          <w:color w:val="000000"/>
          <w:sz w:val="28"/>
        </w:rPr>
        <w:t>
      в январе - декабре 2022 года – 15,4 млн кв. м. (131 тыс. жилищ), в том числе 3,3 млн кв.м в сельской местности.</w:t>
      </w:r>
    </w:p>
    <w:bookmarkEnd w:id="97"/>
    <w:bookmarkStart w:name="z817" w:id="98"/>
    <w:p>
      <w:pPr>
        <w:spacing w:after="0"/>
        <w:ind w:left="0"/>
        <w:jc w:val="both"/>
      </w:pPr>
      <w:r>
        <w:rPr>
          <w:rFonts w:ascii="Times New Roman"/>
          <w:b w:val="false"/>
          <w:i w:val="false"/>
          <w:color w:val="000000"/>
          <w:sz w:val="28"/>
        </w:rPr>
        <w:t>
      Увеличение ввода жилья в январе-декабре 2022 года наблюдается в 14 регионах. Наиболее значительный рост темпов жилищного строительства к уровню прошлого года отмечен в Павлодарской (132,1 %), Восточно-Казахстанской (115,4 %) областях. Снизились темпы ввода жилья в 6 регионах: город Алматы (65,4 %), Астана (75,3 %) и областях Ұлытау (70,4 %), Мангистауской (84,9 %), Северо-Казахстанской (86,9 %), Атырауской (92,2 %).</w:t>
      </w:r>
    </w:p>
    <w:bookmarkEnd w:id="98"/>
    <w:bookmarkStart w:name="z818" w:id="99"/>
    <w:p>
      <w:pPr>
        <w:spacing w:after="0"/>
        <w:ind w:left="0"/>
        <w:jc w:val="both"/>
      </w:pPr>
      <w:r>
        <w:rPr>
          <w:rFonts w:ascii="Times New Roman"/>
          <w:b w:val="false"/>
          <w:i w:val="false"/>
          <w:color w:val="000000"/>
          <w:sz w:val="28"/>
        </w:rPr>
        <w:t>
      По итогам января-декабря 2022 года показатель ввода жилья на одного жителя составил 0,78 кв. метра. Наиболее высокий уровень показатель ввода жилья на одного жителя – в городах Астане (1,75 кв. м), Мангистауской (1,37 кв. м.), Актюбинской (1,35 кв. м.) и Атырауской (1,20 кв. м.) областях. Низкий показатель – в Ұлытау (0,26 кв. м.), Туркестанской (0,41 кв. м.), Жетісу (0,42 кв. м.), Восточно-Казахстанской (0,44 кв. м.) областях.</w:t>
      </w:r>
    </w:p>
    <w:bookmarkEnd w:id="99"/>
    <w:bookmarkStart w:name="z819" w:id="100"/>
    <w:p>
      <w:pPr>
        <w:spacing w:after="0"/>
        <w:ind w:left="0"/>
        <w:jc w:val="both"/>
      </w:pPr>
      <w:r>
        <w:rPr>
          <w:rFonts w:ascii="Times New Roman"/>
          <w:b w:val="false"/>
          <w:i w:val="false"/>
          <w:color w:val="000000"/>
          <w:sz w:val="28"/>
        </w:rPr>
        <w:t xml:space="preserve">
      За январь-декабрь 2022 года инвестиции в жилищное строительство по сравнению с 2021 годом возросли на 16,8 % и составили 2,9 трлн тенге. </w:t>
      </w:r>
    </w:p>
    <w:bookmarkEnd w:id="100"/>
    <w:bookmarkStart w:name="z820" w:id="101"/>
    <w:p>
      <w:pPr>
        <w:spacing w:after="0"/>
        <w:ind w:left="0"/>
        <w:jc w:val="both"/>
      </w:pPr>
      <w:r>
        <w:rPr>
          <w:rFonts w:ascii="Times New Roman"/>
          <w:b w:val="false"/>
          <w:i w:val="false"/>
          <w:color w:val="000000"/>
          <w:sz w:val="28"/>
        </w:rPr>
        <w:t>
      На 1 тенге государственных средств привлечено 9 тенге частных инвестиций.</w:t>
      </w:r>
    </w:p>
    <w:bookmarkEnd w:id="101"/>
    <w:bookmarkStart w:name="z821" w:id="102"/>
    <w:p>
      <w:pPr>
        <w:spacing w:after="0"/>
        <w:ind w:left="0"/>
        <w:jc w:val="both"/>
      </w:pPr>
      <w:r>
        <w:rPr>
          <w:rFonts w:ascii="Times New Roman"/>
          <w:b w:val="false"/>
          <w:i w:val="false"/>
          <w:color w:val="000000"/>
          <w:sz w:val="28"/>
        </w:rPr>
        <w:t>
      Масштабное жилищное строительство дало мультипликативный эффект развитию стройиндустрии, росту производства отечественных строительных материалов. По итогам 2022 года производство строительных материалов выросло на 101,3 % и составило 1133,4 млрд тенге (2020 г– 732,2 млрд тенге, 2021г – 965 млрд тенге). Доля отрасли в структуре обрабатывающей промышленности составляет порядка 5,6 %.</w:t>
      </w:r>
    </w:p>
    <w:bookmarkEnd w:id="102"/>
    <w:bookmarkStart w:name="z822" w:id="103"/>
    <w:p>
      <w:pPr>
        <w:spacing w:after="0"/>
        <w:ind w:left="0"/>
        <w:jc w:val="both"/>
      </w:pPr>
      <w:r>
        <w:rPr>
          <w:rFonts w:ascii="Times New Roman"/>
          <w:b w:val="false"/>
          <w:i w:val="false"/>
          <w:color w:val="000000"/>
          <w:sz w:val="28"/>
        </w:rPr>
        <w:t>
      Жилищный фонд страны по статистическим данным на начало 2023 года составил 405,2 млн кв. м общей площади жилья (5,7млн жилищ), увеличившись в сравнении с 2021 годом на 4,5 %.</w:t>
      </w:r>
    </w:p>
    <w:bookmarkEnd w:id="103"/>
    <w:bookmarkStart w:name="z823" w:id="104"/>
    <w:p>
      <w:pPr>
        <w:spacing w:after="0"/>
        <w:ind w:left="0"/>
        <w:jc w:val="both"/>
      </w:pPr>
      <w:r>
        <w:rPr>
          <w:rFonts w:ascii="Times New Roman"/>
          <w:b w:val="false"/>
          <w:i w:val="false"/>
          <w:color w:val="000000"/>
          <w:sz w:val="28"/>
        </w:rPr>
        <w:t>
      Городской жилищный фонд насчитывает 263,9 млн кв. м общей площади жилья (3,9 млн жилищ), в сельском жилищном фонде – 141,2 млн кв. м (1,8 млн жилищ).</w:t>
      </w:r>
    </w:p>
    <w:bookmarkEnd w:id="104"/>
    <w:bookmarkStart w:name="z824" w:id="105"/>
    <w:p>
      <w:pPr>
        <w:spacing w:after="0"/>
        <w:ind w:left="0"/>
        <w:jc w:val="both"/>
      </w:pPr>
      <w:r>
        <w:rPr>
          <w:rFonts w:ascii="Times New Roman"/>
          <w:b w:val="false"/>
          <w:i w:val="false"/>
          <w:color w:val="000000"/>
          <w:sz w:val="28"/>
        </w:rPr>
        <w:t>
      При этом почти весь (97,7 %) жилищный фонд находится в частной собственности населения страны и лишь 2,3 % в государственной собственности.</w:t>
      </w:r>
    </w:p>
    <w:bookmarkEnd w:id="105"/>
    <w:bookmarkStart w:name="z825" w:id="106"/>
    <w:p>
      <w:pPr>
        <w:spacing w:after="0"/>
        <w:ind w:left="0"/>
        <w:jc w:val="both"/>
      </w:pPr>
      <w:r>
        <w:rPr>
          <w:rFonts w:ascii="Times New Roman"/>
          <w:b w:val="false"/>
          <w:i w:val="false"/>
          <w:color w:val="000000"/>
          <w:sz w:val="28"/>
        </w:rPr>
        <w:t xml:space="preserve">
      Общая площадь жилого помещения на 1 проживающего в 2022 году в сравнении с 2018 годом увеличился на 6,8 % (21,9 кв. м.) и составила 23,4 кв.м. (в городах – 25,8 кв.м., в селах - 19,8 кв.м.). </w:t>
      </w:r>
    </w:p>
    <w:bookmarkEnd w:id="106"/>
    <w:bookmarkStart w:name="z826" w:id="107"/>
    <w:p>
      <w:pPr>
        <w:spacing w:after="0"/>
        <w:ind w:left="0"/>
        <w:jc w:val="both"/>
      </w:pPr>
      <w:r>
        <w:rPr>
          <w:rFonts w:ascii="Times New Roman"/>
          <w:b w:val="false"/>
          <w:i w:val="false"/>
          <w:color w:val="000000"/>
          <w:sz w:val="28"/>
        </w:rPr>
        <w:t>
      Наиболее высокий норматив размера жилой площади на 1 жителя отмечается в городах Астане (30,5 кв.м.), Алматы (29,1 кв.м.), Шымкент (27,4 кв. м.), Мангистауской (27,8 кв. м) и Атырауской (24,3кв. м) областях.</w:t>
      </w:r>
    </w:p>
    <w:bookmarkEnd w:id="107"/>
    <w:bookmarkStart w:name="z827" w:id="108"/>
    <w:p>
      <w:pPr>
        <w:spacing w:after="0"/>
        <w:ind w:left="0"/>
        <w:jc w:val="both"/>
      </w:pPr>
      <w:r>
        <w:rPr>
          <w:rFonts w:ascii="Times New Roman"/>
          <w:b w:val="false"/>
          <w:i w:val="false"/>
          <w:color w:val="000000"/>
          <w:sz w:val="28"/>
        </w:rPr>
        <w:t>
      С целью стимулирования строительства жилья за счет государственных инвестиций в 2017 – 2022 годы обеспечено строительство инженерных коммуникаций в районах массовой жилищной застройки, в том числе обустроено коммуникациями 225,7 тыс. земельных участков, выделяемых гражданам на строительство индивидуального жилья.</w:t>
      </w:r>
    </w:p>
    <w:bookmarkEnd w:id="108"/>
    <w:bookmarkStart w:name="z828" w:id="109"/>
    <w:p>
      <w:pPr>
        <w:spacing w:after="0"/>
        <w:ind w:left="0"/>
        <w:jc w:val="both"/>
      </w:pPr>
      <w:r>
        <w:rPr>
          <w:rFonts w:ascii="Times New Roman"/>
          <w:b w:val="false"/>
          <w:i w:val="false"/>
          <w:color w:val="000000"/>
          <w:sz w:val="28"/>
        </w:rPr>
        <w:t>
      Наибольшее количество земельных участков обеспечено коммуникациями в Актюбинской (65275), Туркестанской (36840), Атырауской (17655), Кызылординской (23448) областях.</w:t>
      </w:r>
    </w:p>
    <w:bookmarkEnd w:id="109"/>
    <w:bookmarkStart w:name="z829" w:id="110"/>
    <w:p>
      <w:pPr>
        <w:spacing w:after="0"/>
        <w:ind w:left="0"/>
        <w:jc w:val="both"/>
      </w:pPr>
      <w:r>
        <w:rPr>
          <w:rFonts w:ascii="Times New Roman"/>
          <w:b w:val="false"/>
          <w:i w:val="false"/>
          <w:color w:val="000000"/>
          <w:sz w:val="28"/>
        </w:rPr>
        <w:t>
      В рамках мер государственной поддержки частным застройщикам в период с 2017 - 2022 годы возмещены процентные расходы по кредитам в общей сумме на 10,9 млрд тенге.</w:t>
      </w:r>
    </w:p>
    <w:bookmarkEnd w:id="110"/>
    <w:bookmarkStart w:name="z830" w:id="111"/>
    <w:p>
      <w:pPr>
        <w:spacing w:after="0"/>
        <w:ind w:left="0"/>
        <w:jc w:val="both"/>
      </w:pPr>
      <w:r>
        <w:rPr>
          <w:rFonts w:ascii="Times New Roman"/>
          <w:b w:val="false"/>
          <w:i w:val="false"/>
          <w:color w:val="000000"/>
          <w:sz w:val="28"/>
        </w:rPr>
        <w:t>
      За счет субсидированных кредитов построено 23 318 квартир общей площадью 1,7 млн кв. м (158 проектов), из них по фиксированной цене реализовано 12 020 квартир.</w:t>
      </w:r>
    </w:p>
    <w:bookmarkEnd w:id="111"/>
    <w:bookmarkStart w:name="z831" w:id="112"/>
    <w:p>
      <w:pPr>
        <w:spacing w:after="0"/>
        <w:ind w:left="0"/>
        <w:jc w:val="both"/>
      </w:pPr>
      <w:r>
        <w:rPr>
          <w:rFonts w:ascii="Times New Roman"/>
          <w:b w:val="false"/>
          <w:i w:val="false"/>
          <w:color w:val="000000"/>
          <w:sz w:val="28"/>
        </w:rPr>
        <w:t>
      В рамках программ реновации жилищного фонда снесено 114 МЖД в 6 регионах республики.</w:t>
      </w:r>
    </w:p>
    <w:bookmarkEnd w:id="112"/>
    <w:bookmarkStart w:name="z832" w:id="113"/>
    <w:p>
      <w:pPr>
        <w:spacing w:after="0"/>
        <w:ind w:left="0"/>
        <w:jc w:val="both"/>
      </w:pPr>
      <w:r>
        <w:rPr>
          <w:rFonts w:ascii="Times New Roman"/>
          <w:b w:val="false"/>
          <w:i w:val="false"/>
          <w:color w:val="000000"/>
          <w:sz w:val="28"/>
        </w:rPr>
        <w:t xml:space="preserve">
      С участием частных инвесторов и государственных инвестиций в столице завершено строительство 120 МЖД с 14 тыс. дольщиками. </w:t>
      </w:r>
    </w:p>
    <w:bookmarkEnd w:id="113"/>
    <w:bookmarkStart w:name="z833" w:id="114"/>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Оценка</w:t>
      </w:r>
      <w:r>
        <w:rPr>
          <w:rFonts w:ascii="Times New Roman"/>
          <w:b w:val="false"/>
          <w:i w:val="false"/>
          <w:color w:val="000000"/>
          <w:sz w:val="28"/>
        </w:rPr>
        <w:t xml:space="preserve"> </w:t>
      </w:r>
      <w:r>
        <w:rPr>
          <w:rFonts w:ascii="Times New Roman"/>
          <w:b w:val="false"/>
          <w:i/>
          <w:color w:val="000000"/>
          <w:sz w:val="28"/>
        </w:rPr>
        <w:t>экономических</w:t>
      </w:r>
      <w:r>
        <w:rPr>
          <w:rFonts w:ascii="Times New Roman"/>
          <w:b w:val="false"/>
          <w:i w:val="false"/>
          <w:color w:val="000000"/>
          <w:sz w:val="28"/>
        </w:rPr>
        <w:t xml:space="preserve"> </w:t>
      </w:r>
      <w:r>
        <w:rPr>
          <w:rFonts w:ascii="Times New Roman"/>
          <w:b w:val="false"/>
          <w:i/>
          <w:color w:val="000000"/>
          <w:sz w:val="28"/>
        </w:rPr>
        <w:t>мер</w:t>
      </w:r>
      <w:r>
        <w:rPr>
          <w:rFonts w:ascii="Times New Roman"/>
          <w:b w:val="false"/>
          <w:i w:val="false"/>
          <w:color w:val="000000"/>
          <w:sz w:val="28"/>
        </w:rPr>
        <w:t xml:space="preserve"> </w:t>
      </w:r>
      <w:r>
        <w:rPr>
          <w:rFonts w:ascii="Times New Roman"/>
          <w:b w:val="false"/>
          <w:i/>
          <w:color w:val="000000"/>
          <w:sz w:val="28"/>
        </w:rPr>
        <w:t>поддержки</w:t>
      </w:r>
      <w:r>
        <w:rPr>
          <w:rFonts w:ascii="Times New Roman"/>
          <w:b w:val="false"/>
          <w:i w:val="false"/>
          <w:color w:val="000000"/>
          <w:sz w:val="28"/>
        </w:rPr>
        <w:t xml:space="preserve"> </w:t>
      </w:r>
      <w:r>
        <w:rPr>
          <w:rFonts w:ascii="Times New Roman"/>
          <w:b w:val="false"/>
          <w:i/>
          <w:color w:val="000000"/>
          <w:sz w:val="28"/>
        </w:rPr>
        <w:t>населения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решения</w:t>
      </w:r>
      <w:r>
        <w:rPr>
          <w:rFonts w:ascii="Times New Roman"/>
          <w:b w:val="false"/>
          <w:i w:val="false"/>
          <w:color w:val="000000"/>
          <w:sz w:val="28"/>
        </w:rPr>
        <w:t xml:space="preserve"> </w:t>
      </w:r>
      <w:r>
        <w:rPr>
          <w:rFonts w:ascii="Times New Roman"/>
          <w:b w:val="false"/>
          <w:i/>
          <w:color w:val="000000"/>
          <w:sz w:val="28"/>
        </w:rPr>
        <w:t>жилищных</w:t>
      </w:r>
      <w:r>
        <w:rPr>
          <w:rFonts w:ascii="Times New Roman"/>
          <w:b w:val="false"/>
          <w:i w:val="false"/>
          <w:color w:val="000000"/>
          <w:sz w:val="28"/>
        </w:rPr>
        <w:t xml:space="preserve"> </w:t>
      </w:r>
      <w:r>
        <w:rPr>
          <w:rFonts w:ascii="Times New Roman"/>
          <w:b w:val="false"/>
          <w:i/>
          <w:color w:val="000000"/>
          <w:sz w:val="28"/>
        </w:rPr>
        <w:t>вопросов</w:t>
      </w:r>
      <w:r>
        <w:rPr>
          <w:rFonts w:ascii="Times New Roman"/>
          <w:b w:val="false"/>
          <w:i w:val="false"/>
          <w:color w:val="000000"/>
          <w:sz w:val="28"/>
        </w:rPr>
        <w:t xml:space="preserve"> </w:t>
      </w:r>
    </w:p>
    <w:bookmarkEnd w:id="114"/>
    <w:bookmarkStart w:name="z834" w:id="115"/>
    <w:p>
      <w:pPr>
        <w:spacing w:after="0"/>
        <w:ind w:left="0"/>
        <w:jc w:val="both"/>
      </w:pPr>
      <w:r>
        <w:rPr>
          <w:rFonts w:ascii="Times New Roman"/>
          <w:b w:val="false"/>
          <w:i w:val="false"/>
          <w:color w:val="000000"/>
          <w:sz w:val="28"/>
        </w:rPr>
        <w:t>
      Определяющими факторами доступности жилья для населения являются цены на недвижимость и соответствующая покупательская способность населения.</w:t>
      </w:r>
    </w:p>
    <w:bookmarkEnd w:id="115"/>
    <w:bookmarkStart w:name="z835" w:id="116"/>
    <w:p>
      <w:pPr>
        <w:spacing w:after="0"/>
        <w:ind w:left="0"/>
        <w:jc w:val="both"/>
      </w:pPr>
      <w:r>
        <w:rPr>
          <w:rFonts w:ascii="Times New Roman"/>
          <w:b w:val="false"/>
          <w:i w:val="false"/>
          <w:color w:val="000000"/>
          <w:sz w:val="28"/>
        </w:rPr>
        <w:t xml:space="preserve">
      По данным статистики по итогам 4 квартала 2022 года среднемесячная номинальная заработная плата по республике составила 338,7 тыс. тенге, увеличившись в сравнении с 2021 годом на 22,8 %. </w:t>
      </w:r>
    </w:p>
    <w:bookmarkEnd w:id="116"/>
    <w:bookmarkStart w:name="z836" w:id="117"/>
    <w:p>
      <w:pPr>
        <w:spacing w:after="0"/>
        <w:ind w:left="0"/>
        <w:jc w:val="both"/>
      </w:pPr>
      <w:r>
        <w:rPr>
          <w:rFonts w:ascii="Times New Roman"/>
          <w:b w:val="false"/>
          <w:i w:val="false"/>
          <w:color w:val="000000"/>
          <w:sz w:val="28"/>
        </w:rPr>
        <w:t>
      Наиболее высокая заработная плата в городе Астане (469,3 тыс. тенге), в областях Ұлытау (448,9 тыс.тенге), Атырауской (556 тыс. тенге), Мангистауской (509 тыс. тенге).</w:t>
      </w:r>
    </w:p>
    <w:bookmarkEnd w:id="117"/>
    <w:bookmarkStart w:name="z837" w:id="118"/>
    <w:p>
      <w:pPr>
        <w:spacing w:after="0"/>
        <w:ind w:left="0"/>
        <w:jc w:val="both"/>
      </w:pPr>
      <w:r>
        <w:rPr>
          <w:rFonts w:ascii="Times New Roman"/>
          <w:b w:val="false"/>
          <w:i w:val="false"/>
          <w:color w:val="000000"/>
          <w:sz w:val="28"/>
        </w:rPr>
        <w:t>
      За период с января по декабрь 2022 года цена продажи нового жилья в сравнении с аналогичным периодом 2021 года повысились на 15,6 %, перепродажа благоустроенного жилья – на 21,6 %.</w:t>
      </w:r>
    </w:p>
    <w:bookmarkEnd w:id="118"/>
    <w:bookmarkStart w:name="z838" w:id="119"/>
    <w:p>
      <w:pPr>
        <w:spacing w:after="0"/>
        <w:ind w:left="0"/>
        <w:jc w:val="both"/>
      </w:pPr>
      <w:r>
        <w:rPr>
          <w:rFonts w:ascii="Times New Roman"/>
          <w:b w:val="false"/>
          <w:i w:val="false"/>
          <w:color w:val="000000"/>
          <w:sz w:val="28"/>
        </w:rPr>
        <w:t>
      Также арендная плата за благоустроенное жилье отражает увеличение ежегодного темпа роста и по итогам 2022 года повысилась на 45 %, что обусловлено возникшей ситуацией в России, связанной с частичной мобилизацией и значительного притока граждан данной страны.</w:t>
      </w:r>
    </w:p>
    <w:bookmarkEnd w:id="119"/>
    <w:bookmarkStart w:name="z839" w:id="120"/>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w:t>
      </w:r>
      <w:r>
        <w:rPr>
          <w:rFonts w:ascii="Times New Roman"/>
          <w:b w:val="false"/>
          <w:i w:val="false"/>
          <w:color w:val="000000"/>
          <w:sz w:val="28"/>
        </w:rPr>
        <w:t xml:space="preserve"> </w:t>
      </w:r>
      <w:r>
        <w:rPr>
          <w:rFonts w:ascii="Times New Roman"/>
          <w:b w:val="false"/>
          <w:i/>
          <w:color w:val="000000"/>
          <w:sz w:val="28"/>
        </w:rPr>
        <w:t>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2022г</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периода, в тенге за 1 кв.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декабрю прошлого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периода, в тенге за 1 кв.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декабрю прошлого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периода, в тенге за 1 кв.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декабрю прошлого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нового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благоустроенного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r>
    </w:tbl>
    <w:bookmarkStart w:name="z840" w:id="12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источник:</w:t>
      </w:r>
      <w:r>
        <w:rPr>
          <w:rFonts w:ascii="Times New Roman"/>
          <w:b w:val="false"/>
          <w:i w:val="false"/>
          <w:color w:val="000000"/>
          <w:sz w:val="28"/>
        </w:rPr>
        <w:t xml:space="preserve"> </w:t>
      </w:r>
      <w:r>
        <w:rPr>
          <w:rFonts w:ascii="Times New Roman"/>
          <w:b w:val="false"/>
          <w:i/>
          <w:color w:val="000000"/>
          <w:sz w:val="28"/>
        </w:rPr>
        <w:t>Бюро</w:t>
      </w:r>
      <w:r>
        <w:rPr>
          <w:rFonts w:ascii="Times New Roman"/>
          <w:b w:val="false"/>
          <w:i w:val="false"/>
          <w:color w:val="000000"/>
          <w:sz w:val="28"/>
        </w:rPr>
        <w:t xml:space="preserve"> </w:t>
      </w:r>
      <w:r>
        <w:rPr>
          <w:rFonts w:ascii="Times New Roman"/>
          <w:b w:val="false"/>
          <w:i/>
          <w:color w:val="000000"/>
          <w:sz w:val="28"/>
        </w:rPr>
        <w:t>национальной</w:t>
      </w:r>
      <w:r>
        <w:rPr>
          <w:rFonts w:ascii="Times New Roman"/>
          <w:b w:val="false"/>
          <w:i w:val="false"/>
          <w:color w:val="000000"/>
          <w:sz w:val="28"/>
        </w:rPr>
        <w:t xml:space="preserve"> </w:t>
      </w:r>
      <w:r>
        <w:rPr>
          <w:rFonts w:ascii="Times New Roman"/>
          <w:b w:val="false"/>
          <w:i/>
          <w:color w:val="000000"/>
          <w:sz w:val="28"/>
        </w:rPr>
        <w:t>статистики</w:t>
      </w:r>
      <w:r>
        <w:rPr>
          <w:rFonts w:ascii="Times New Roman"/>
          <w:b w:val="false"/>
          <w:i w:val="false"/>
          <w:color w:val="000000"/>
          <w:sz w:val="28"/>
        </w:rPr>
        <w:t xml:space="preserve"> </w:t>
      </w:r>
      <w:r>
        <w:rPr>
          <w:rFonts w:ascii="Times New Roman"/>
          <w:b w:val="false"/>
          <w:i/>
          <w:color w:val="000000"/>
          <w:sz w:val="28"/>
        </w:rPr>
        <w:t>Агентства</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стратегическому</w:t>
      </w:r>
      <w:r>
        <w:rPr>
          <w:rFonts w:ascii="Times New Roman"/>
          <w:b w:val="false"/>
          <w:i w:val="false"/>
          <w:color w:val="000000"/>
          <w:sz w:val="28"/>
        </w:rPr>
        <w:t xml:space="preserve"> </w:t>
      </w:r>
      <w:r>
        <w:rPr>
          <w:rFonts w:ascii="Times New Roman"/>
          <w:b w:val="false"/>
          <w:i/>
          <w:color w:val="000000"/>
          <w:sz w:val="28"/>
        </w:rPr>
        <w:t>планированию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реформам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p>
    <w:bookmarkEnd w:id="121"/>
    <w:bookmarkStart w:name="z841" w:id="122"/>
    <w:p>
      <w:pPr>
        <w:spacing w:after="0"/>
        <w:ind w:left="0"/>
        <w:jc w:val="both"/>
      </w:pPr>
      <w:r>
        <w:rPr>
          <w:rFonts w:ascii="Times New Roman"/>
          <w:b w:val="false"/>
          <w:i w:val="false"/>
          <w:color w:val="000000"/>
          <w:sz w:val="28"/>
        </w:rPr>
        <w:t>
      С целью поддержания платежеспособного спроса населения реализуются различные инструменты ипотечного кредитования финансовых институтов и системы жилищных строительных сбережений, позволяющих гражданам с различными уровнями доходов решить свои жилищные вопросы ("Свой дом", "Жас отбасы", "Әскери Баспана", "Военный продукт", "Умай", "2-10-20", "5-10-20", ипотечная программа жилищного кредитования "7-20-25", региональные программы льготного кредитования).</w:t>
      </w:r>
    </w:p>
    <w:bookmarkEnd w:id="122"/>
    <w:bookmarkStart w:name="z842" w:id="123"/>
    <w:p>
      <w:pPr>
        <w:spacing w:after="0"/>
        <w:ind w:left="0"/>
        <w:jc w:val="both"/>
      </w:pPr>
      <w:r>
        <w:rPr>
          <w:rFonts w:ascii="Times New Roman"/>
          <w:b w:val="false"/>
          <w:i w:val="false"/>
          <w:color w:val="000000"/>
          <w:sz w:val="28"/>
        </w:rPr>
        <w:t>
      Совокупный объем портфеля ипотечных кредитов по состоянию на 1 января 2023 года составил 5,1 трлн тенге, из них в рамках ипотечной программы "7-20-25" выдано 65975 ипотечных жилищных займов на 880,3 млрд тенге, по системе жилищных строительных сбережений на 2,9 трлн тенге (в 2021 г – 3,8 трлн тенге, портфель Отбасы банка – 2 трлн тенге).</w:t>
      </w:r>
    </w:p>
    <w:bookmarkEnd w:id="123"/>
    <w:bookmarkStart w:name="z843" w:id="124"/>
    <w:p>
      <w:pPr>
        <w:spacing w:after="0"/>
        <w:ind w:left="0"/>
        <w:jc w:val="both"/>
      </w:pPr>
      <w:r>
        <w:rPr>
          <w:rFonts w:ascii="Times New Roman"/>
          <w:b w:val="false"/>
          <w:i w:val="false"/>
          <w:color w:val="000000"/>
          <w:sz w:val="28"/>
        </w:rPr>
        <w:t xml:space="preserve">
      На конец декабря 2022 года средневзвешенная ставка вознаграждения по кредитам на строительство и приобретение жилья гражданами составила 9,8 % (2021г -8,2 %, 2020г -7,6 %). </w:t>
      </w:r>
    </w:p>
    <w:bookmarkEnd w:id="124"/>
    <w:bookmarkStart w:name="z844" w:id="125"/>
    <w:p>
      <w:pPr>
        <w:spacing w:after="0"/>
        <w:ind w:left="0"/>
        <w:jc w:val="both"/>
      </w:pPr>
      <w:r>
        <w:rPr>
          <w:rFonts w:ascii="Times New Roman"/>
          <w:b w:val="false"/>
          <w:i w:val="false"/>
          <w:color w:val="000000"/>
          <w:sz w:val="28"/>
        </w:rPr>
        <w:t>
      В рамках пенсионной компании по состоянию на 1 января 2023 года использовали 3,2трлн тенге на улучшение жилищных условий по 1,3 млн заявлениям граждан (906 тыс. заявителей), в том числе:</w:t>
      </w:r>
    </w:p>
    <w:bookmarkEnd w:id="125"/>
    <w:bookmarkStart w:name="z845" w:id="126"/>
    <w:p>
      <w:pPr>
        <w:spacing w:after="0"/>
        <w:ind w:left="0"/>
        <w:jc w:val="both"/>
      </w:pPr>
      <w:r>
        <w:rPr>
          <w:rFonts w:ascii="Times New Roman"/>
          <w:b w:val="false"/>
          <w:i w:val="false"/>
          <w:color w:val="000000"/>
          <w:sz w:val="28"/>
        </w:rPr>
        <w:t>
      791 млрд тенге на исполнение обязательств по ипотечным жилищным займам (331 тыс.заявителей);</w:t>
      </w:r>
    </w:p>
    <w:bookmarkEnd w:id="126"/>
    <w:bookmarkStart w:name="z846" w:id="127"/>
    <w:p>
      <w:pPr>
        <w:spacing w:after="0"/>
        <w:ind w:left="0"/>
        <w:jc w:val="both"/>
      </w:pPr>
      <w:r>
        <w:rPr>
          <w:rFonts w:ascii="Times New Roman"/>
          <w:b w:val="false"/>
          <w:i w:val="false"/>
          <w:color w:val="000000"/>
          <w:sz w:val="28"/>
        </w:rPr>
        <w:t>
      260 млрд тенге на пополнение вклада по жилищным сбережениям (189 тыс. заявителей);</w:t>
      </w:r>
    </w:p>
    <w:bookmarkEnd w:id="127"/>
    <w:bookmarkStart w:name="z847" w:id="128"/>
    <w:p>
      <w:pPr>
        <w:spacing w:after="0"/>
        <w:ind w:left="0"/>
        <w:jc w:val="both"/>
      </w:pPr>
      <w:r>
        <w:rPr>
          <w:rFonts w:ascii="Times New Roman"/>
          <w:b w:val="false"/>
          <w:i w:val="false"/>
          <w:color w:val="000000"/>
          <w:sz w:val="28"/>
        </w:rPr>
        <w:t>
      2 трлн тенге для окончательного расчета при приобретении жилья в собственность (348 тыс. заявителей);</w:t>
      </w:r>
    </w:p>
    <w:bookmarkEnd w:id="128"/>
    <w:bookmarkStart w:name="z848" w:id="129"/>
    <w:p>
      <w:pPr>
        <w:spacing w:after="0"/>
        <w:ind w:left="0"/>
        <w:jc w:val="both"/>
      </w:pPr>
      <w:r>
        <w:rPr>
          <w:rFonts w:ascii="Times New Roman"/>
          <w:b w:val="false"/>
          <w:i w:val="false"/>
          <w:color w:val="000000"/>
          <w:sz w:val="28"/>
        </w:rPr>
        <w:t>
      94 млрд тенге на иные цели в виде строительства индивидуального жилья, по договорам аренды, приватизации, рассрочки, долевого участия в жилищном строительстве (37 тыс. заявителей).</w:t>
      </w:r>
    </w:p>
    <w:bookmarkEnd w:id="129"/>
    <w:bookmarkStart w:name="z849" w:id="130"/>
    <w:p>
      <w:pPr>
        <w:spacing w:after="0"/>
        <w:ind w:left="0"/>
        <w:jc w:val="both"/>
      </w:pPr>
      <w:r>
        <w:rPr>
          <w:rFonts w:ascii="Times New Roman"/>
          <w:b w:val="false"/>
          <w:i w:val="false"/>
          <w:color w:val="000000"/>
          <w:sz w:val="28"/>
        </w:rPr>
        <w:t xml:space="preserve">
      В рамках государственных мер поддержки в период с 2017 – 2022 годы жилищные условия улучшили 196,8 тыс. граждан, которым предоставлены льготные займы (2 % – 5 %), арендное, кредитное жилье МИО и субъектов квазигосударственного сектора. </w:t>
      </w:r>
    </w:p>
    <w:bookmarkEnd w:id="130"/>
    <w:bookmarkStart w:name="z850" w:id="131"/>
    <w:p>
      <w:pPr>
        <w:spacing w:after="0"/>
        <w:ind w:left="0"/>
        <w:jc w:val="both"/>
      </w:pPr>
      <w:r>
        <w:rPr>
          <w:rFonts w:ascii="Times New Roman"/>
          <w:b w:val="false"/>
          <w:i w:val="false"/>
          <w:color w:val="000000"/>
          <w:sz w:val="28"/>
        </w:rPr>
        <w:t>
      Несмотря на предпринимаемые меры, наблюдается постоянный рост численности граждан, ориентированных на социальные меры поддержки, что обусловлено низкой платежеспособностью, несовершенством норм жилищного законодательства (за январь – декабрь 2022 года увеличилась с 553 тыс. чел до 592 тыс. чел, т.е. на 105,9 %).</w:t>
      </w:r>
    </w:p>
    <w:bookmarkEnd w:id="131"/>
    <w:bookmarkStart w:name="z851" w:id="132"/>
    <w:p>
      <w:pPr>
        <w:spacing w:after="0"/>
        <w:ind w:left="0"/>
        <w:jc w:val="both"/>
      </w:pPr>
      <w:r>
        <w:rPr>
          <w:rFonts w:ascii="Times New Roman"/>
          <w:b w:val="false"/>
          <w:i w:val="false"/>
          <w:color w:val="000000"/>
          <w:sz w:val="28"/>
        </w:rPr>
        <w:t>
      За период с 2019 – 2022 годы акиматами выдано 8088 жилищных сертификатов для покрытия части первоначального взноса по ипотечным жилищным займам на 8,4 млрд тенге для приобретения жилья.</w:t>
      </w:r>
    </w:p>
    <w:bookmarkEnd w:id="132"/>
    <w:bookmarkStart w:name="z852" w:id="133"/>
    <w:p>
      <w:pPr>
        <w:spacing w:after="0"/>
        <w:ind w:left="0"/>
        <w:jc w:val="both"/>
      </w:pPr>
      <w:r>
        <w:rPr>
          <w:rFonts w:ascii="Times New Roman"/>
          <w:b w:val="false"/>
          <w:i w:val="false"/>
          <w:color w:val="000000"/>
          <w:sz w:val="28"/>
        </w:rPr>
        <w:t xml:space="preserve">
      Общественные отношения, связанные с деятельностью по долевому участию в жилищном строительстве жилых домов (жилых зданий) за счет привлечения денежных средств физических и (или) юридических лиц,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133"/>
    <w:bookmarkStart w:name="z853" w:id="134"/>
    <w:p>
      <w:pPr>
        <w:spacing w:after="0"/>
        <w:ind w:left="0"/>
        <w:jc w:val="both"/>
      </w:pPr>
      <w:r>
        <w:rPr>
          <w:rFonts w:ascii="Times New Roman"/>
          <w:b w:val="false"/>
          <w:i w:val="false"/>
          <w:color w:val="000000"/>
          <w:sz w:val="28"/>
        </w:rPr>
        <w:t xml:space="preserve">
      В период с 2016-2023 годы частными застройщиками привлечены средства дольщиков по 806 объектам, из них завершено строительство 493 объектов и по 313 продолжается строительство. </w:t>
      </w:r>
    </w:p>
    <w:bookmarkEnd w:id="134"/>
    <w:bookmarkStart w:name="z854" w:id="135"/>
    <w:p>
      <w:pPr>
        <w:spacing w:after="0"/>
        <w:ind w:left="0"/>
        <w:jc w:val="both"/>
      </w:pPr>
      <w:r>
        <w:rPr>
          <w:rFonts w:ascii="Times New Roman"/>
          <w:b w:val="false"/>
          <w:i w:val="false"/>
          <w:color w:val="000000"/>
          <w:sz w:val="28"/>
        </w:rPr>
        <w:t xml:space="preserve">
      Вместе с тем одной из актуальных проблем является строительство объектов в обход действующего законодательства. В результате незаконных действий застройщиков пострадали 16 тысяч граждан. </w:t>
      </w:r>
    </w:p>
    <w:bookmarkEnd w:id="135"/>
    <w:bookmarkStart w:name="z855" w:id="136"/>
    <w:p>
      <w:pPr>
        <w:spacing w:after="0"/>
        <w:ind w:left="0"/>
        <w:jc w:val="both"/>
      </w:pPr>
      <w:r>
        <w:rPr>
          <w:rFonts w:ascii="Times New Roman"/>
          <w:b w:val="false"/>
          <w:i w:val="false"/>
          <w:color w:val="000000"/>
          <w:sz w:val="28"/>
        </w:rPr>
        <w:t>
      Несмотря на все прилагаемые усилия, проблемы с долевым строительством остаются не до конца решенными. По состоянию на март месяц 2023 года требуется завершить 44 проблемных объекта жилищного строительства с участием 6789 дольщиков.</w:t>
      </w:r>
    </w:p>
    <w:bookmarkEnd w:id="136"/>
    <w:bookmarkStart w:name="z856" w:id="137"/>
    <w:p>
      <w:pPr>
        <w:spacing w:after="0"/>
        <w:ind w:left="0"/>
        <w:jc w:val="both"/>
      </w:pPr>
      <w:r>
        <w:rPr>
          <w:rFonts w:ascii="Times New Roman"/>
          <w:b w:val="false"/>
          <w:i w:val="false"/>
          <w:color w:val="000000"/>
          <w:sz w:val="28"/>
        </w:rPr>
        <w:t xml:space="preserve">
      Наряду с этим, в условиях урбанизации и трудовой миграции отсутствует действенный механизм по цивилизованным отношениям на рынке арендного жилья, что оставляет незащищенными права как арендатора, так и арендодателя. </w:t>
      </w:r>
    </w:p>
    <w:bookmarkEnd w:id="137"/>
    <w:bookmarkStart w:name="z857" w:id="138"/>
    <w:p>
      <w:pPr>
        <w:spacing w:after="0"/>
        <w:ind w:left="0"/>
        <w:jc w:val="both"/>
      </w:pPr>
      <w:r>
        <w:rPr>
          <w:rFonts w:ascii="Times New Roman"/>
          <w:b w:val="false"/>
          <w:i w:val="false"/>
          <w:color w:val="000000"/>
          <w:sz w:val="28"/>
        </w:rPr>
        <w:t>
      По данным социологического опроса теневой рынок арендного жилья занимает 60-70 % от общего рынка несмотря на различные либеральные условия налогового законодательства для осуществления предпринимательской деятельности по сдаче недвижимого имущества в аренду (патенты, упрощенные формы для индивидуальных предпринимателей, единый совокупный платеж, 10 % ставка от налогооблагаемого дохода).</w:t>
      </w:r>
    </w:p>
    <w:bookmarkEnd w:id="138"/>
    <w:bookmarkStart w:name="z858" w:id="139"/>
    <w:p>
      <w:pPr>
        <w:spacing w:after="0"/>
        <w:ind w:left="0"/>
        <w:jc w:val="both"/>
      </w:pPr>
      <w:r>
        <w:rPr>
          <w:rFonts w:ascii="Times New Roman"/>
          <w:b w:val="false"/>
          <w:i w:val="false"/>
          <w:color w:val="000000"/>
          <w:sz w:val="28"/>
        </w:rPr>
        <w:t xml:space="preserve">
      </w:t>
      </w:r>
      <w:r>
        <w:rPr>
          <w:rFonts w:ascii="Times New Roman"/>
          <w:b w:val="false"/>
          <w:i/>
          <w:color w:val="000000"/>
          <w:sz w:val="28"/>
        </w:rPr>
        <w:t>3. Оценка текущего состояния жилищного фонда</w:t>
      </w:r>
    </w:p>
    <w:bookmarkEnd w:id="139"/>
    <w:bookmarkStart w:name="z859" w:id="140"/>
    <w:p>
      <w:pPr>
        <w:spacing w:after="0"/>
        <w:ind w:left="0"/>
        <w:jc w:val="both"/>
      </w:pPr>
      <w:r>
        <w:rPr>
          <w:rFonts w:ascii="Times New Roman"/>
          <w:b w:val="false"/>
          <w:i w:val="false"/>
          <w:color w:val="000000"/>
          <w:sz w:val="28"/>
        </w:rPr>
        <w:t xml:space="preserve">
      По данным статистике по республике 2,5 млн жилых домов, в том числе 311 541 единиц многоквартирных жилых домов. </w:t>
      </w:r>
    </w:p>
    <w:bookmarkEnd w:id="140"/>
    <w:bookmarkStart w:name="z860" w:id="141"/>
    <w:p>
      <w:pPr>
        <w:spacing w:after="0"/>
        <w:ind w:left="0"/>
        <w:jc w:val="both"/>
      </w:pPr>
      <w:r>
        <w:rPr>
          <w:rFonts w:ascii="Times New Roman"/>
          <w:b w:val="false"/>
          <w:i w:val="false"/>
          <w:color w:val="000000"/>
          <w:sz w:val="28"/>
        </w:rPr>
        <w:t>
      По данным МИО по республике насчитывается 54731 МЖД, треть из них старше 1970 года (50 лет и более) и около 65 % жилищного фонда, введенного в эксплуатацию, более 25 лет назад.</w:t>
      </w:r>
    </w:p>
    <w:bookmarkEnd w:id="141"/>
    <w:bookmarkStart w:name="z861" w:id="142"/>
    <w:p>
      <w:pPr>
        <w:spacing w:after="0"/>
        <w:ind w:left="0"/>
        <w:jc w:val="both"/>
      </w:pPr>
      <w:r>
        <w:rPr>
          <w:rFonts w:ascii="Times New Roman"/>
          <w:b w:val="false"/>
          <w:i w:val="false"/>
          <w:color w:val="000000"/>
          <w:sz w:val="28"/>
        </w:rPr>
        <w:t>
      Проведение отдельных видов ремонта требуется по 17044 МЖД и 752 МЖД (1,4 %) подлежат сносу, как непригодное для проживания.</w:t>
      </w:r>
    </w:p>
    <w:bookmarkEnd w:id="142"/>
    <w:bookmarkStart w:name="z862" w:id="143"/>
    <w:p>
      <w:pPr>
        <w:spacing w:after="0"/>
        <w:ind w:left="0"/>
        <w:jc w:val="both"/>
      </w:pPr>
      <w:r>
        <w:rPr>
          <w:rFonts w:ascii="Times New Roman"/>
          <w:b w:val="false"/>
          <w:i w:val="false"/>
          <w:color w:val="000000"/>
          <w:sz w:val="28"/>
        </w:rPr>
        <w:t>
      За счет государственных инвестиций в период с 2011 по 2022 годы отремонтировано 3571 МЖД.</w:t>
      </w:r>
    </w:p>
    <w:bookmarkEnd w:id="143"/>
    <w:bookmarkStart w:name="z863" w:id="144"/>
    <w:p>
      <w:pPr>
        <w:spacing w:after="0"/>
        <w:ind w:left="0"/>
        <w:jc w:val="both"/>
      </w:pPr>
      <w:r>
        <w:rPr>
          <w:rFonts w:ascii="Times New Roman"/>
          <w:b w:val="false"/>
          <w:i w:val="false"/>
          <w:color w:val="000000"/>
          <w:sz w:val="28"/>
        </w:rPr>
        <w:t>
      Принимаемые меры по поддержанию состояния существующего жилищного фонда позволили снизить долю МЖД, требующих капитального ремонта, к 2023 году до 31,1 % (2021г – 31,6 %, 2020г – 21,5 %).</w:t>
      </w:r>
    </w:p>
    <w:bookmarkEnd w:id="144"/>
    <w:bookmarkStart w:name="z864" w:id="145"/>
    <w:p>
      <w:pPr>
        <w:spacing w:after="0"/>
        <w:ind w:left="0"/>
        <w:jc w:val="both"/>
      </w:pPr>
      <w:r>
        <w:rPr>
          <w:rFonts w:ascii="Times New Roman"/>
          <w:b w:val="false"/>
          <w:i w:val="false"/>
          <w:color w:val="000000"/>
          <w:sz w:val="28"/>
        </w:rPr>
        <w:t>
      Немаловажны и вопросы эксплуатации лифтов, которых на сегодня в жилищном фонде насчитывается 33858 единиц, из них подлежат замене 3937 единиц и требуется капитальный ремонт 2407 единицам в рамках технического обслуживания с дальнейшим продлением срока эксплуатации на 25 лет.</w:t>
      </w:r>
    </w:p>
    <w:bookmarkEnd w:id="145"/>
    <w:bookmarkStart w:name="z865" w:id="146"/>
    <w:p>
      <w:pPr>
        <w:spacing w:after="0"/>
        <w:ind w:left="0"/>
        <w:jc w:val="both"/>
      </w:pPr>
      <w:r>
        <w:rPr>
          <w:rFonts w:ascii="Times New Roman"/>
          <w:b w:val="false"/>
          <w:i w:val="false"/>
          <w:color w:val="000000"/>
          <w:sz w:val="28"/>
        </w:rPr>
        <w:t xml:space="preserve">
      По стране действует 150 организаций, специализирующихся на сервисных услугах по обслуживанию лифтов и 3 предприятия по производству лифтового оборудования с проектной мощностью выпуска 200-1000 единиц в год. </w:t>
      </w:r>
    </w:p>
    <w:bookmarkEnd w:id="146"/>
    <w:bookmarkStart w:name="z866" w:id="147"/>
    <w:p>
      <w:pPr>
        <w:spacing w:after="0"/>
        <w:ind w:left="0"/>
        <w:jc w:val="both"/>
      </w:pPr>
      <w:r>
        <w:rPr>
          <w:rFonts w:ascii="Times New Roman"/>
          <w:b w:val="false"/>
          <w:i w:val="false"/>
          <w:color w:val="000000"/>
          <w:sz w:val="28"/>
        </w:rPr>
        <w:t>
      В период с 2017 по 2022 годы отечественными производителями выпущено 3278 лифтов.</w:t>
      </w:r>
    </w:p>
    <w:bookmarkEnd w:id="147"/>
    <w:bookmarkStart w:name="z867" w:id="148"/>
    <w:p>
      <w:pPr>
        <w:spacing w:after="0"/>
        <w:ind w:left="0"/>
        <w:jc w:val="both"/>
      </w:pPr>
      <w:r>
        <w:rPr>
          <w:rFonts w:ascii="Times New Roman"/>
          <w:b w:val="false"/>
          <w:i w:val="false"/>
          <w:color w:val="000000"/>
          <w:sz w:val="28"/>
        </w:rPr>
        <w:t>
      Вместе с тем, решение проблемы надлежащего обслуживания и поддержки состояния жилищного фонда невозможно без активного участия собственников квартир, поскольку 97,8 % жилья находится в частной собственности.</w:t>
      </w:r>
    </w:p>
    <w:bookmarkEnd w:id="148"/>
    <w:bookmarkStart w:name="z868" w:id="149"/>
    <w:p>
      <w:pPr>
        <w:spacing w:after="0"/>
        <w:ind w:left="0"/>
        <w:jc w:val="both"/>
      </w:pPr>
      <w:r>
        <w:rPr>
          <w:rFonts w:ascii="Times New Roman"/>
          <w:b w:val="false"/>
          <w:i w:val="false"/>
          <w:color w:val="000000"/>
          <w:sz w:val="28"/>
        </w:rPr>
        <w:t xml:space="preserve">
      На сегодня основополагающие принципы управления и хозяйствования объектом кондоминиума, а также государственного контроля в области жилищного фонда определены отраслевым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(далее – Закон).</w:t>
      </w:r>
    </w:p>
    <w:bookmarkEnd w:id="149"/>
    <w:bookmarkStart w:name="z869" w:id="150"/>
    <w:p>
      <w:pPr>
        <w:spacing w:after="0"/>
        <w:ind w:left="0"/>
        <w:jc w:val="both"/>
      </w:pPr>
      <w:r>
        <w:rPr>
          <w:rFonts w:ascii="Times New Roman"/>
          <w:b w:val="false"/>
          <w:i w:val="false"/>
          <w:color w:val="000000"/>
          <w:sz w:val="28"/>
        </w:rPr>
        <w:t xml:space="preserve">
      Согласно данному Закону осуществляется переход собственников имущества на новые формы управления, что охватывает по республике 46714 МЖД, из них созданы новые формы управления объектом кондоминиума в 45425 МЖД (97,2 %). </w:t>
      </w:r>
    </w:p>
    <w:bookmarkEnd w:id="150"/>
    <w:bookmarkStart w:name="z870" w:id="151"/>
    <w:p>
      <w:pPr>
        <w:spacing w:after="0"/>
        <w:ind w:left="0"/>
        <w:jc w:val="both"/>
      </w:pPr>
      <w:r>
        <w:rPr>
          <w:rFonts w:ascii="Times New Roman"/>
          <w:b w:val="false"/>
          <w:i w:val="false"/>
          <w:color w:val="000000"/>
          <w:sz w:val="28"/>
        </w:rPr>
        <w:t>
      Ключевыми проблемами на сегодня являются низкая активность собственников в принятии решений по управлению домом, отсутствие достаточно эффективного механизма накопления денежных средств на капитальный ремонт жилья, что обусловлено сложностью процедур голосования и ограниченностью в электронных сервисах.</w:t>
      </w:r>
    </w:p>
    <w:bookmarkEnd w:id="151"/>
    <w:bookmarkStart w:name="z871" w:id="152"/>
    <w:p>
      <w:pPr>
        <w:spacing w:after="0"/>
        <w:ind w:left="0"/>
        <w:jc w:val="both"/>
      </w:pPr>
      <w:r>
        <w:rPr>
          <w:rFonts w:ascii="Times New Roman"/>
          <w:b w:val="false"/>
          <w:i w:val="false"/>
          <w:color w:val="000000"/>
          <w:sz w:val="28"/>
        </w:rPr>
        <w:t>
      Основными проблемами в секторе жилищной инфраструктуры являются:</w:t>
      </w:r>
    </w:p>
    <w:bookmarkEnd w:id="152"/>
    <w:bookmarkStart w:name="z872" w:id="153"/>
    <w:p>
      <w:pPr>
        <w:spacing w:after="0"/>
        <w:ind w:left="0"/>
        <w:jc w:val="both"/>
      </w:pPr>
      <w:r>
        <w:rPr>
          <w:rFonts w:ascii="Times New Roman"/>
          <w:b w:val="false"/>
          <w:i w:val="false"/>
          <w:color w:val="000000"/>
          <w:sz w:val="28"/>
        </w:rPr>
        <w:t xml:space="preserve">
      ограниченность финансовых возможностей граждан в улучшении жилищных условий посредством ипотечных программ ввиду высокой процентной ставки, низкого уровня платежеспособности населения, а также отсутствие роста реальных доходов населения; </w:t>
      </w:r>
    </w:p>
    <w:bookmarkEnd w:id="153"/>
    <w:bookmarkStart w:name="z873" w:id="154"/>
    <w:p>
      <w:pPr>
        <w:spacing w:after="0"/>
        <w:ind w:left="0"/>
        <w:jc w:val="both"/>
      </w:pPr>
      <w:r>
        <w:rPr>
          <w:rFonts w:ascii="Times New Roman"/>
          <w:b w:val="false"/>
          <w:i w:val="false"/>
          <w:color w:val="000000"/>
          <w:sz w:val="28"/>
        </w:rPr>
        <w:t>
      высокая стоимость строительства, связанная с затратами на приобретение строительных материалов, земельных участков, аренды оборудования;</w:t>
      </w:r>
    </w:p>
    <w:bookmarkEnd w:id="154"/>
    <w:bookmarkStart w:name="z874" w:id="155"/>
    <w:p>
      <w:pPr>
        <w:spacing w:after="0"/>
        <w:ind w:left="0"/>
        <w:jc w:val="both"/>
      </w:pPr>
      <w:r>
        <w:rPr>
          <w:rFonts w:ascii="Times New Roman"/>
          <w:b w:val="false"/>
          <w:i w:val="false"/>
          <w:color w:val="000000"/>
          <w:sz w:val="28"/>
        </w:rPr>
        <w:t>
      отсутствие достаточного объема производства отечественных строительных материалов;</w:t>
      </w:r>
    </w:p>
    <w:bookmarkEnd w:id="155"/>
    <w:bookmarkStart w:name="z875" w:id="156"/>
    <w:p>
      <w:pPr>
        <w:spacing w:after="0"/>
        <w:ind w:left="0"/>
        <w:jc w:val="both"/>
      </w:pPr>
      <w:r>
        <w:rPr>
          <w:rFonts w:ascii="Times New Roman"/>
          <w:b w:val="false"/>
          <w:i w:val="false"/>
          <w:color w:val="000000"/>
          <w:sz w:val="28"/>
        </w:rPr>
        <w:t>
      отсутствие принципа "эффективный" собственник, квалифицированных специалистов в системе управления жилым фондом, действенных рычагов контроля со стороны жилищных инспекций;</w:t>
      </w:r>
    </w:p>
    <w:bookmarkEnd w:id="156"/>
    <w:bookmarkStart w:name="z876" w:id="157"/>
    <w:p>
      <w:pPr>
        <w:spacing w:after="0"/>
        <w:ind w:left="0"/>
        <w:jc w:val="both"/>
      </w:pPr>
      <w:r>
        <w:rPr>
          <w:rFonts w:ascii="Times New Roman"/>
          <w:b w:val="false"/>
          <w:i w:val="false"/>
          <w:color w:val="000000"/>
          <w:sz w:val="28"/>
        </w:rPr>
        <w:t>
      "теневой" рынок арендного жилья и привлечение средств граждан в обход законодательства о долевом участии в жилищном строительстве;</w:t>
      </w:r>
    </w:p>
    <w:bookmarkEnd w:id="157"/>
    <w:bookmarkStart w:name="z877" w:id="158"/>
    <w:p>
      <w:pPr>
        <w:spacing w:after="0"/>
        <w:ind w:left="0"/>
        <w:jc w:val="both"/>
      </w:pPr>
      <w:r>
        <w:rPr>
          <w:rFonts w:ascii="Times New Roman"/>
          <w:b w:val="false"/>
          <w:i w:val="false"/>
          <w:color w:val="000000"/>
          <w:sz w:val="28"/>
        </w:rPr>
        <w:t>
      неэффективное использование территорий, на которых возможно жилищное строительство, сложности с изъятием неиспользуемых земельных участков и отсутствие свободных участков под застройку;</w:t>
      </w:r>
    </w:p>
    <w:bookmarkEnd w:id="158"/>
    <w:bookmarkStart w:name="z878" w:id="159"/>
    <w:p>
      <w:pPr>
        <w:spacing w:after="0"/>
        <w:ind w:left="0"/>
        <w:jc w:val="both"/>
      </w:pPr>
      <w:r>
        <w:rPr>
          <w:rFonts w:ascii="Times New Roman"/>
          <w:b w:val="false"/>
          <w:i w:val="false"/>
          <w:color w:val="000000"/>
          <w:sz w:val="28"/>
        </w:rPr>
        <w:t>
      на вновь застраиваемых территориях наблюдается полное отсутствие коммуникаций, сроки ввода в эксплуатацию объектов инфраструктуры не синхронизированы со сроками строительства домов;</w:t>
      </w:r>
    </w:p>
    <w:bookmarkEnd w:id="159"/>
    <w:bookmarkStart w:name="z879" w:id="160"/>
    <w:p>
      <w:pPr>
        <w:spacing w:after="0"/>
        <w:ind w:left="0"/>
        <w:jc w:val="both"/>
      </w:pPr>
      <w:r>
        <w:rPr>
          <w:rFonts w:ascii="Times New Roman"/>
          <w:b w:val="false"/>
          <w:i w:val="false"/>
          <w:color w:val="000000"/>
          <w:sz w:val="28"/>
        </w:rPr>
        <w:t>
      хаотичность застройки территорий, что увеличивает нагрузку на существующую инфраструктуру и приводит к дефициту социально значимых объектов и ухудшению качества городской среды;</w:t>
      </w:r>
    </w:p>
    <w:bookmarkEnd w:id="160"/>
    <w:bookmarkStart w:name="z880" w:id="161"/>
    <w:p>
      <w:pPr>
        <w:spacing w:after="0"/>
        <w:ind w:left="0"/>
        <w:jc w:val="both"/>
      </w:pPr>
      <w:r>
        <w:rPr>
          <w:rFonts w:ascii="Times New Roman"/>
          <w:b w:val="false"/>
          <w:i w:val="false"/>
          <w:color w:val="000000"/>
          <w:sz w:val="28"/>
        </w:rPr>
        <w:t>
      многочисленность корректировок градостроительных документов, несогласованность документов градостроительного и социально-экономического развития;</w:t>
      </w:r>
    </w:p>
    <w:bookmarkEnd w:id="161"/>
    <w:bookmarkStart w:name="z881" w:id="162"/>
    <w:p>
      <w:pPr>
        <w:spacing w:after="0"/>
        <w:ind w:left="0"/>
        <w:jc w:val="both"/>
      </w:pPr>
      <w:r>
        <w:rPr>
          <w:rFonts w:ascii="Times New Roman"/>
          <w:b w:val="false"/>
          <w:i w:val="false"/>
          <w:color w:val="000000"/>
          <w:sz w:val="28"/>
        </w:rPr>
        <w:t>
      устаревший жилищный фонд, нуждающийся в реконструкции и реновации.</w:t>
      </w:r>
    </w:p>
    <w:bookmarkEnd w:id="162"/>
    <w:bookmarkStart w:name="z882" w:id="163"/>
    <w:p>
      <w:pPr>
        <w:spacing w:after="0"/>
        <w:ind w:left="0"/>
        <w:jc w:val="left"/>
      </w:pPr>
      <w:r>
        <w:rPr>
          <w:rFonts w:ascii="Times New Roman"/>
          <w:b/>
          <w:i w:val="false"/>
          <w:color w:val="000000"/>
        </w:rPr>
        <w:t xml:space="preserve"> 3. Обзор международного опыта</w:t>
      </w:r>
    </w:p>
    <w:bookmarkEnd w:id="163"/>
    <w:bookmarkStart w:name="z883" w:id="164"/>
    <w:p>
      <w:pPr>
        <w:spacing w:after="0"/>
        <w:ind w:left="0"/>
        <w:jc w:val="left"/>
      </w:pPr>
      <w:r>
        <w:rPr>
          <w:rFonts w:ascii="Times New Roman"/>
          <w:b/>
          <w:i w:val="false"/>
          <w:color w:val="000000"/>
        </w:rPr>
        <w:t xml:space="preserve"> 3.1. Коммунальная инфраструктура</w:t>
      </w:r>
    </w:p>
    <w:bookmarkEnd w:id="164"/>
    <w:bookmarkStart w:name="z884" w:id="165"/>
    <w:p>
      <w:pPr>
        <w:spacing w:after="0"/>
        <w:ind w:left="0"/>
        <w:jc w:val="both"/>
      </w:pPr>
      <w:r>
        <w:rPr>
          <w:rFonts w:ascii="Times New Roman"/>
          <w:b w:val="false"/>
          <w:i w:val="false"/>
          <w:color w:val="000000"/>
          <w:sz w:val="28"/>
        </w:rPr>
        <w:t>
      Рассмотренный опыт зарубежных стран показал наиболее приемлемые в условиях страны механизмы реализации проектов по развитию и модернизации коммунальной инфраструктуры с привлечением государственных инвестиций (целевые трансферты, субсидии) по опыту стран Европейского союза.</w:t>
      </w:r>
    </w:p>
    <w:bookmarkEnd w:id="165"/>
    <w:bookmarkStart w:name="z885" w:id="166"/>
    <w:p>
      <w:pPr>
        <w:spacing w:after="0"/>
        <w:ind w:left="0"/>
        <w:jc w:val="both"/>
      </w:pPr>
      <w:r>
        <w:rPr>
          <w:rFonts w:ascii="Times New Roman"/>
          <w:b w:val="false"/>
          <w:i w:val="false"/>
          <w:color w:val="000000"/>
          <w:sz w:val="28"/>
        </w:rPr>
        <w:t>
      При этом в большинстве зарубежных стран управление в сфере жилищно-коммунальные хозяйства (далее – ЖКХ) рассматривается как отдельный вид предпринимательской деятельности, за который управляющая организация получает вознаграждение от собственников помещений, а ответственность перед ними за содержание здания несет объединение (ассоциация, товарищество) собственников жилья.</w:t>
      </w:r>
    </w:p>
    <w:bookmarkEnd w:id="166"/>
    <w:bookmarkStart w:name="z886" w:id="167"/>
    <w:p>
      <w:pPr>
        <w:spacing w:after="0"/>
        <w:ind w:left="0"/>
        <w:jc w:val="both"/>
      </w:pPr>
      <w:r>
        <w:rPr>
          <w:rFonts w:ascii="Times New Roman"/>
          <w:b w:val="false"/>
          <w:i w:val="false"/>
          <w:color w:val="000000"/>
          <w:sz w:val="28"/>
        </w:rPr>
        <w:t xml:space="preserve">
      В Финляндии вся коммунальная инфраструктура находится в коммунальной собственности города, при этом множество электростанций находится в частных руках и теплоснабжение централизованное. Кроме того, у горожанина есть право и технические возможности выбора (у кого выгоднее покупать услуги). </w:t>
      </w:r>
    </w:p>
    <w:bookmarkEnd w:id="167"/>
    <w:bookmarkStart w:name="z887" w:id="168"/>
    <w:p>
      <w:pPr>
        <w:spacing w:after="0"/>
        <w:ind w:left="0"/>
        <w:jc w:val="both"/>
      </w:pPr>
      <w:r>
        <w:rPr>
          <w:rFonts w:ascii="Times New Roman"/>
          <w:b w:val="false"/>
          <w:i w:val="false"/>
          <w:color w:val="000000"/>
          <w:sz w:val="28"/>
        </w:rPr>
        <w:t>
      Фирмы, занимающиеся электро-, газо- и водоснабжением, водоотведением, сбором и переработкой мусора и всех промышленных отходов, работают по контракту с муниципалитетами.</w:t>
      </w:r>
    </w:p>
    <w:bookmarkEnd w:id="168"/>
    <w:bookmarkStart w:name="z888" w:id="169"/>
    <w:p>
      <w:pPr>
        <w:spacing w:after="0"/>
        <w:ind w:left="0"/>
        <w:jc w:val="both"/>
      </w:pPr>
      <w:r>
        <w:rPr>
          <w:rFonts w:ascii="Times New Roman"/>
          <w:b w:val="false"/>
          <w:i w:val="false"/>
          <w:color w:val="000000"/>
          <w:sz w:val="28"/>
        </w:rPr>
        <w:t>
      Существуют разные типы контрактов, одни предусматривают только эксплуатацию указанных систем, другие – ответственность за ремонт, третьи – за строительство новых объектов, в том числе за строительство инфраструктуры ЖКХ для новых городских районов. Заказы на эксплуатацию и строительство распределяются через тендеры, которые проводятся муниципалитетами с обеспечением регулярного контроля.</w:t>
      </w:r>
    </w:p>
    <w:bookmarkEnd w:id="169"/>
    <w:bookmarkStart w:name="z889" w:id="170"/>
    <w:p>
      <w:pPr>
        <w:spacing w:after="0"/>
        <w:ind w:left="0"/>
        <w:jc w:val="both"/>
      </w:pPr>
      <w:r>
        <w:rPr>
          <w:rFonts w:ascii="Times New Roman"/>
          <w:b w:val="false"/>
          <w:i w:val="false"/>
          <w:color w:val="000000"/>
          <w:sz w:val="28"/>
        </w:rPr>
        <w:t>
      Почти 65 % проектов в области водоснабжения и санитарии использовали гранты Европейского союза для подготовки необходимой проектной документации (технико-экономических обоснований, анализа затрат и выгод), поддержки создания и функционирования подразделения по реализации проектов, наращивания потенциала местных органов власти и повышения их организационной эффективности, совершенствования эксплуатации и технического обслуживания существующих систем.</w:t>
      </w:r>
    </w:p>
    <w:bookmarkEnd w:id="170"/>
    <w:bookmarkStart w:name="z890" w:id="171"/>
    <w:p>
      <w:pPr>
        <w:spacing w:after="0"/>
        <w:ind w:left="0"/>
        <w:jc w:val="both"/>
      </w:pPr>
      <w:r>
        <w:rPr>
          <w:rFonts w:ascii="Times New Roman"/>
          <w:b w:val="false"/>
          <w:i w:val="false"/>
          <w:color w:val="000000"/>
          <w:sz w:val="28"/>
        </w:rPr>
        <w:t>
      По опыту зарубежных стран многие инфраструктурные проекты водоснабжения и водоотведения реализуются через государственно-частное партнерство (далее – ГЧП)</w:t>
      </w:r>
    </w:p>
    <w:bookmarkEnd w:id="171"/>
    <w:bookmarkStart w:name="z891" w:id="172"/>
    <w:p>
      <w:pPr>
        <w:spacing w:after="0"/>
        <w:ind w:left="0"/>
        <w:jc w:val="both"/>
      </w:pPr>
      <w:r>
        <w:rPr>
          <w:rFonts w:ascii="Times New Roman"/>
          <w:b w:val="false"/>
          <w:i w:val="false"/>
          <w:color w:val="000000"/>
          <w:sz w:val="28"/>
        </w:rPr>
        <w:t>
      Так, "голландская модель" предполагает государственное владение и управление системой ЖКХ через создаваемое частное предприятие. По "французской модели" осуществляется передача государственных активов системы ЖКХ под управление частному сектору через механизмы ГЧП.</w:t>
      </w:r>
    </w:p>
    <w:bookmarkEnd w:id="172"/>
    <w:bookmarkStart w:name="z892" w:id="173"/>
    <w:p>
      <w:pPr>
        <w:spacing w:after="0"/>
        <w:ind w:left="0"/>
        <w:jc w:val="both"/>
      </w:pPr>
      <w:r>
        <w:rPr>
          <w:rFonts w:ascii="Times New Roman"/>
          <w:b w:val="false"/>
          <w:i w:val="false"/>
          <w:color w:val="000000"/>
          <w:sz w:val="28"/>
        </w:rPr>
        <w:t>
      В то же время применение данных моделей управления зависит от эффективной тарифной политики и состояния инженерной инфраструктуры.</w:t>
      </w:r>
    </w:p>
    <w:bookmarkEnd w:id="173"/>
    <w:bookmarkStart w:name="z893" w:id="174"/>
    <w:p>
      <w:pPr>
        <w:spacing w:after="0"/>
        <w:ind w:left="0"/>
        <w:jc w:val="both"/>
      </w:pPr>
      <w:r>
        <w:rPr>
          <w:rFonts w:ascii="Times New Roman"/>
          <w:b w:val="false"/>
          <w:i w:val="false"/>
          <w:color w:val="000000"/>
          <w:sz w:val="28"/>
        </w:rPr>
        <w:t xml:space="preserve">
      Передача объектов с высокой степенью износа в доверительное управление может вызвать значительный рост тарифов для привлечения инвестиций на замену сетей. Для этого необходимо усилить меры государственной поддержки особенно в части социально-уязвимых слоев населения при значительном повышении тарифа. </w:t>
      </w:r>
    </w:p>
    <w:bookmarkEnd w:id="174"/>
    <w:bookmarkStart w:name="z894" w:id="175"/>
    <w:p>
      <w:pPr>
        <w:spacing w:after="0"/>
        <w:ind w:left="0"/>
        <w:jc w:val="both"/>
      </w:pPr>
      <w:r>
        <w:rPr>
          <w:rFonts w:ascii="Times New Roman"/>
          <w:b w:val="false"/>
          <w:i w:val="false"/>
          <w:color w:val="000000"/>
          <w:sz w:val="28"/>
        </w:rPr>
        <w:t>
      "Британская модель" предполагает передачу объектов ЖКХ в частное владение и управление через приватизацию всех государственных активов в сфере ЖКХ. Роль государства ограничивается регулированием и поддержкой сектора.</w:t>
      </w:r>
    </w:p>
    <w:bookmarkEnd w:id="175"/>
    <w:bookmarkStart w:name="z895" w:id="176"/>
    <w:p>
      <w:pPr>
        <w:spacing w:after="0"/>
        <w:ind w:left="0"/>
        <w:jc w:val="both"/>
      </w:pPr>
      <w:r>
        <w:rPr>
          <w:rFonts w:ascii="Times New Roman"/>
          <w:b w:val="false"/>
          <w:i w:val="false"/>
          <w:color w:val="000000"/>
          <w:sz w:val="28"/>
        </w:rPr>
        <w:t>
      В республике по примеру "британской модели" проводилась передача субъектов ЖКХ в частную собственность в рамках Комплексного плана приватизации на 2021-2025 годы. При этом, данный подход также несет за собой определенные риски по недостаточному привлечению частных инвестиций на содержание и развитие инфраструктуры частным собственником, а также ухудшению качества услуг.</w:t>
      </w:r>
    </w:p>
    <w:bookmarkEnd w:id="176"/>
    <w:bookmarkStart w:name="z896" w:id="177"/>
    <w:p>
      <w:pPr>
        <w:spacing w:after="0"/>
        <w:ind w:left="0"/>
        <w:jc w:val="both"/>
      </w:pPr>
      <w:r>
        <w:rPr>
          <w:rFonts w:ascii="Times New Roman"/>
          <w:b w:val="false"/>
          <w:i w:val="false"/>
          <w:color w:val="000000"/>
          <w:sz w:val="28"/>
        </w:rPr>
        <w:t>
      В Казахстане на каждый объект ЖКХ планируется предусмотреть применение разных моделей в зависимости от состояния инфраструктуры и специфики предприятий.</w:t>
      </w:r>
    </w:p>
    <w:bookmarkEnd w:id="177"/>
    <w:bookmarkStart w:name="z897" w:id="178"/>
    <w:p>
      <w:pPr>
        <w:spacing w:after="0"/>
        <w:ind w:left="0"/>
        <w:jc w:val="both"/>
      </w:pPr>
      <w:r>
        <w:rPr>
          <w:rFonts w:ascii="Times New Roman"/>
          <w:b w:val="false"/>
          <w:i w:val="false"/>
          <w:color w:val="000000"/>
          <w:sz w:val="28"/>
        </w:rPr>
        <w:t>
      Для реализации проектов по модернизации коммунальной инфраструктуры в России действует Фонд содействия реформированию жилищно-коммунального хозяйства, который обеспечивает финансирование за счет средств Фонда национального благосостояния.</w:t>
      </w:r>
    </w:p>
    <w:bookmarkEnd w:id="178"/>
    <w:bookmarkStart w:name="z898" w:id="179"/>
    <w:p>
      <w:pPr>
        <w:spacing w:after="0"/>
        <w:ind w:left="0"/>
        <w:jc w:val="both"/>
      </w:pPr>
      <w:r>
        <w:rPr>
          <w:rFonts w:ascii="Times New Roman"/>
          <w:b w:val="false"/>
          <w:i w:val="false"/>
          <w:color w:val="000000"/>
          <w:sz w:val="28"/>
        </w:rPr>
        <w:t>
      В целях функционирования надежной коммунальной системы, снижения потерь и аварийности на сетях, сокращения затрат в таких странах как США, ОАЭ, Южная Корея, Сингапур автоматизированы и оцифрованы производственные процессы систем теплоснабжения, водоснабжения и водоотведения.</w:t>
      </w:r>
    </w:p>
    <w:bookmarkEnd w:id="179"/>
    <w:bookmarkStart w:name="z899" w:id="180"/>
    <w:p>
      <w:pPr>
        <w:spacing w:after="0"/>
        <w:ind w:left="0"/>
        <w:jc w:val="both"/>
      </w:pPr>
      <w:r>
        <w:rPr>
          <w:rFonts w:ascii="Times New Roman"/>
          <w:b w:val="false"/>
          <w:i w:val="false"/>
          <w:color w:val="000000"/>
          <w:sz w:val="28"/>
        </w:rPr>
        <w:t>
      В данном направлении планируется в Казахстане автоматизировать деятельность предприятий водоснабжения и водоотведения за счет государственного бюджета.</w:t>
      </w:r>
    </w:p>
    <w:bookmarkEnd w:id="180"/>
    <w:bookmarkStart w:name="z900" w:id="181"/>
    <w:p>
      <w:pPr>
        <w:spacing w:after="0"/>
        <w:ind w:left="0"/>
        <w:jc w:val="both"/>
      </w:pPr>
      <w:r>
        <w:rPr>
          <w:rFonts w:ascii="Times New Roman"/>
          <w:b w:val="false"/>
          <w:i w:val="false"/>
          <w:color w:val="000000"/>
          <w:sz w:val="28"/>
        </w:rPr>
        <w:t xml:space="preserve">
      Для Казахстана интересен мировой опыт внедрения цифровых технологий в жилищно-коммунальной сфере, что станет в ближайшей перспективе приоритетной мерой развития коммунальной инфраструктуры. Будет применен опыт привлечения инвестиций в развитие коммунальной инфраструктуры в рамках совершенствования тарифной политики. </w:t>
      </w:r>
    </w:p>
    <w:bookmarkEnd w:id="181"/>
    <w:bookmarkStart w:name="z901" w:id="182"/>
    <w:p>
      <w:pPr>
        <w:spacing w:after="0"/>
        <w:ind w:left="0"/>
        <w:jc w:val="left"/>
      </w:pPr>
      <w:r>
        <w:rPr>
          <w:rFonts w:ascii="Times New Roman"/>
          <w:b/>
          <w:i w:val="false"/>
          <w:color w:val="000000"/>
        </w:rPr>
        <w:t xml:space="preserve"> 3.2. Жилищная инфраструктура</w:t>
      </w:r>
    </w:p>
    <w:bookmarkEnd w:id="182"/>
    <w:bookmarkStart w:name="z902" w:id="183"/>
    <w:p>
      <w:pPr>
        <w:spacing w:after="0"/>
        <w:ind w:left="0"/>
        <w:jc w:val="both"/>
      </w:pPr>
      <w:r>
        <w:rPr>
          <w:rFonts w:ascii="Times New Roman"/>
          <w:b w:val="false"/>
          <w:i w:val="false"/>
          <w:color w:val="000000"/>
          <w:sz w:val="28"/>
        </w:rPr>
        <w:t xml:space="preserve">
      Рассмотренный опыт зарубежных стран показал ряд аналогичных инструментов, применяемых в республике для решения жилищных вопросов населения. </w:t>
      </w:r>
    </w:p>
    <w:bookmarkEnd w:id="183"/>
    <w:bookmarkStart w:name="z903" w:id="184"/>
    <w:p>
      <w:pPr>
        <w:spacing w:after="0"/>
        <w:ind w:left="0"/>
        <w:jc w:val="both"/>
      </w:pPr>
      <w:r>
        <w:rPr>
          <w:rFonts w:ascii="Times New Roman"/>
          <w:b w:val="false"/>
          <w:i w:val="false"/>
          <w:color w:val="000000"/>
          <w:sz w:val="28"/>
        </w:rPr>
        <w:t>
      К примеру, по опыту Великобритании и Канады оказывается помощь в приобретении жилья определенным группам населения через строительство социального жилья, льготных займов и жилищных сертификатов. Кроме того, по опыту Канады и стран ОЭСР внедрены в 2022 году жилищные выплаты на аренду жилья в частном жилищном фонде.</w:t>
      </w:r>
    </w:p>
    <w:bookmarkEnd w:id="184"/>
    <w:bookmarkStart w:name="z904" w:id="185"/>
    <w:p>
      <w:pPr>
        <w:spacing w:after="0"/>
        <w:ind w:left="0"/>
        <w:jc w:val="both"/>
      </w:pPr>
      <w:r>
        <w:rPr>
          <w:rFonts w:ascii="Times New Roman"/>
          <w:b w:val="false"/>
          <w:i w:val="false"/>
          <w:color w:val="000000"/>
          <w:sz w:val="28"/>
        </w:rPr>
        <w:t>
      Для самостоятельного строительства жилья по опыту Чили подводятся инженерные коммуникации к земельным участкам.</w:t>
      </w:r>
    </w:p>
    <w:bookmarkEnd w:id="185"/>
    <w:bookmarkStart w:name="z905" w:id="186"/>
    <w:p>
      <w:pPr>
        <w:spacing w:after="0"/>
        <w:ind w:left="0"/>
        <w:jc w:val="both"/>
      </w:pPr>
      <w:r>
        <w:rPr>
          <w:rFonts w:ascii="Times New Roman"/>
          <w:b w:val="false"/>
          <w:i w:val="false"/>
          <w:color w:val="000000"/>
          <w:sz w:val="28"/>
        </w:rPr>
        <w:t>
      В Великобритании реализуется программа доступного жилья на 2021 – 2026 годы (AffordableHomesProgramme 2021 to 2026). Предоставление жилья основано на балльной системе и рассчитано для наиболее нуждающихся. По последней оценке, фонд социального жилья в Великобритании составляет приблизительно 4 млн квартир и домов, тогда как число людей, ожидающих жилье в очереди, превышает 1,2 млн Арендная стоимость социального жилья значительно ниже рыночной (до 80 % рыночной цены). После определенного времени жильцы муниципальных домов имеют право на выкуп жилья, а стоимость выкупа зависит от времени проживания. Также правительством Великобритании оказывается помощь в покупке жилья определенным группам людей. Так, по программе покупки жилья ("Homebuy" scheme) выдается заемный капитал в размере 25 % от покупной цены недвижимости, который возвращается при перепродаже жилья в сумме составляющей 25 % от стоимости имущества на момент продажи. По указанным кредитам не начисляются проценты.</w:t>
      </w:r>
    </w:p>
    <w:bookmarkEnd w:id="186"/>
    <w:bookmarkStart w:name="z906" w:id="187"/>
    <w:p>
      <w:pPr>
        <w:spacing w:after="0"/>
        <w:ind w:left="0"/>
        <w:jc w:val="both"/>
      </w:pPr>
      <w:r>
        <w:rPr>
          <w:rFonts w:ascii="Times New Roman"/>
          <w:b w:val="false"/>
          <w:i w:val="false"/>
          <w:color w:val="000000"/>
          <w:sz w:val="28"/>
        </w:rPr>
        <w:t xml:space="preserve">
      В Канаде действует программа "Канадская национальная жилищная стратегия на 2019/20 – 2029/30 годы", которая направлена на оказание помощи гражданам страны, нуждающимся в недорогом современном жилье, а также предоставление ипотечных кредитов для стабилизации рынка жилья. </w:t>
      </w:r>
    </w:p>
    <w:bookmarkEnd w:id="187"/>
    <w:bookmarkStart w:name="z907" w:id="188"/>
    <w:p>
      <w:pPr>
        <w:spacing w:after="0"/>
        <w:ind w:left="0"/>
        <w:jc w:val="both"/>
      </w:pPr>
      <w:r>
        <w:rPr>
          <w:rFonts w:ascii="Times New Roman"/>
          <w:b w:val="false"/>
          <w:i w:val="false"/>
          <w:color w:val="000000"/>
          <w:sz w:val="28"/>
        </w:rPr>
        <w:t>
      Предусмотрены строительство 100 тыс. жилых домов для обеспечения жильем 530 тыс. семей, а также субсидирование арендной платы и жилищное пособие. Арендная плата субсидируется, если аренда жилья превышает 30 % доходов семьи до уплаты налогов.</w:t>
      </w:r>
    </w:p>
    <w:bookmarkEnd w:id="188"/>
    <w:bookmarkStart w:name="z908" w:id="189"/>
    <w:p>
      <w:pPr>
        <w:spacing w:after="0"/>
        <w:ind w:left="0"/>
        <w:jc w:val="both"/>
      </w:pPr>
      <w:r>
        <w:rPr>
          <w:rFonts w:ascii="Times New Roman"/>
          <w:b w:val="false"/>
          <w:i w:val="false"/>
          <w:color w:val="000000"/>
          <w:sz w:val="28"/>
        </w:rPr>
        <w:t xml:space="preserve">
      В Чили осуществляется строительство полуготовых домов. Идея заключается в том, чтобы дать возможность для расширения площади жилья самостоятельно. </w:t>
      </w:r>
    </w:p>
    <w:bookmarkEnd w:id="189"/>
    <w:bookmarkStart w:name="z909" w:id="190"/>
    <w:p>
      <w:pPr>
        <w:spacing w:after="0"/>
        <w:ind w:left="0"/>
        <w:jc w:val="both"/>
      </w:pPr>
      <w:r>
        <w:rPr>
          <w:rFonts w:ascii="Times New Roman"/>
          <w:b w:val="false"/>
          <w:i w:val="false"/>
          <w:color w:val="000000"/>
          <w:sz w:val="28"/>
        </w:rPr>
        <w:t>
      Почти во всех странах Организации экономического сотрудничества и развития жилищная поддержка предоставляется за счет жилищных пособий, на которые приходится от 0,6 до 1,8 % ВВП. Страны ОЭСР в основном поддерживают предоставление социального арендного жилья.</w:t>
      </w:r>
    </w:p>
    <w:bookmarkEnd w:id="190"/>
    <w:bookmarkStart w:name="z910" w:id="191"/>
    <w:p>
      <w:pPr>
        <w:spacing w:after="0"/>
        <w:ind w:left="0"/>
        <w:jc w:val="both"/>
      </w:pPr>
      <w:r>
        <w:rPr>
          <w:rFonts w:ascii="Times New Roman"/>
          <w:b w:val="false"/>
          <w:i w:val="false"/>
          <w:color w:val="000000"/>
          <w:sz w:val="28"/>
        </w:rPr>
        <w:t>
      К середине 70-х годов Швеция достигла самых высоких в мире стандартов качества жилья благодаря реализации государственной программы "Программа миллиона квартир". Данная программа была из двух составляющих: субсидирование арендной платы и финансирование строительства напрямую из государственного бюджета при участии Центрального Банка Швеции.</w:t>
      </w:r>
    </w:p>
    <w:bookmarkEnd w:id="191"/>
    <w:bookmarkStart w:name="z911" w:id="192"/>
    <w:p>
      <w:pPr>
        <w:spacing w:after="0"/>
        <w:ind w:left="0"/>
        <w:jc w:val="both"/>
      </w:pPr>
      <w:r>
        <w:rPr>
          <w:rFonts w:ascii="Times New Roman"/>
          <w:b w:val="false"/>
          <w:i w:val="false"/>
          <w:color w:val="000000"/>
          <w:sz w:val="28"/>
        </w:rPr>
        <w:t>
      Жилищная модель в Нидерландах основана на жилищных ассоциациях, которые обеспечивают 80 % социального арендного жилья. Социальное жилье в Нидерландах предоставляется через зарегистрированные организации социального жилья, которые являются частными некоммерческими организациями, на них возложена юридическая задача предоставлять приоритет обеспечения жильем семье с более низким доходом.</w:t>
      </w:r>
    </w:p>
    <w:bookmarkEnd w:id="192"/>
    <w:bookmarkStart w:name="z912" w:id="193"/>
    <w:p>
      <w:pPr>
        <w:spacing w:after="0"/>
        <w:ind w:left="0"/>
        <w:jc w:val="both"/>
      </w:pPr>
      <w:r>
        <w:rPr>
          <w:rFonts w:ascii="Times New Roman"/>
          <w:b w:val="false"/>
          <w:i w:val="false"/>
          <w:color w:val="000000"/>
          <w:sz w:val="28"/>
        </w:rPr>
        <w:t>
      В странах ОЭСР получили распространение инвестиционные фонды недвижимости (REIT–RealEstateInvestmentTrust) – частные компании (фонды), которые за счет коллективных инвестиций (паев, долей) приобретают объекты недвижимости или ипотечные ценные бумаги (закладные, ипотечные облигации), затем предоставляют их в аренду с целью получения прибыли.</w:t>
      </w:r>
    </w:p>
    <w:bookmarkEnd w:id="193"/>
    <w:bookmarkStart w:name="z913" w:id="194"/>
    <w:p>
      <w:pPr>
        <w:spacing w:after="0"/>
        <w:ind w:left="0"/>
        <w:jc w:val="both"/>
      </w:pPr>
      <w:r>
        <w:rPr>
          <w:rFonts w:ascii="Times New Roman"/>
          <w:b w:val="false"/>
          <w:i w:val="false"/>
          <w:color w:val="000000"/>
          <w:sz w:val="28"/>
        </w:rPr>
        <w:t xml:space="preserve">
      По опыту России, Турции создана Казахстанская жилищная компания (аналог "Дом. РФ"), специализирующая на привлечении инвестиций в строительство жилья через различные механизмы. </w:t>
      </w:r>
    </w:p>
    <w:bookmarkEnd w:id="194"/>
    <w:bookmarkStart w:name="z914" w:id="195"/>
    <w:p>
      <w:pPr>
        <w:spacing w:after="0"/>
        <w:ind w:left="0"/>
        <w:jc w:val="both"/>
      </w:pPr>
      <w:r>
        <w:rPr>
          <w:rFonts w:ascii="Times New Roman"/>
          <w:b w:val="false"/>
          <w:i w:val="false"/>
          <w:color w:val="000000"/>
          <w:sz w:val="28"/>
        </w:rPr>
        <w:t xml:space="preserve">
      В целях комплексной поддержки жилищного сектора и обеспечения доступным жильем граждан России в 2018 году был создан единый институт развития жилищной сферы "Дом. РФ", который обеспечил развитие рынка ипотечного кредитования за счет выпуска ипотечных облигаций на 1,7 трлн рублей. Наряду с этим предусмотрены облигационные заимствования для реализации инфраструктурных проектов по развитию рынка арендного жилья, предоставления застройщикам земельных ресурсов и формирования комфортной городской среды. </w:t>
      </w:r>
    </w:p>
    <w:bookmarkEnd w:id="195"/>
    <w:bookmarkStart w:name="z915" w:id="196"/>
    <w:p>
      <w:pPr>
        <w:spacing w:after="0"/>
        <w:ind w:left="0"/>
        <w:jc w:val="both"/>
      </w:pPr>
      <w:r>
        <w:rPr>
          <w:rFonts w:ascii="Times New Roman"/>
          <w:b w:val="false"/>
          <w:i w:val="false"/>
          <w:color w:val="000000"/>
          <w:sz w:val="28"/>
        </w:rPr>
        <w:t>
      В рамках реализованных ДОМ.РФ государственных программ "Дальневосточная ипотека", "Программа субсидирования ставок по ипотеке на новостройки", "Программа государственной поддержки семей с детьми", "Программа субсидирования ставок по проектам жилищного строительства – помощь застройщикам" и арендных проектов жилищные условия улучшили порядка 2 млн семей.</w:t>
      </w:r>
    </w:p>
    <w:bookmarkEnd w:id="196"/>
    <w:bookmarkStart w:name="z916" w:id="197"/>
    <w:p>
      <w:pPr>
        <w:spacing w:after="0"/>
        <w:ind w:left="0"/>
        <w:jc w:val="both"/>
      </w:pPr>
      <w:r>
        <w:rPr>
          <w:rFonts w:ascii="Times New Roman"/>
          <w:b w:val="false"/>
          <w:i w:val="false"/>
          <w:color w:val="000000"/>
          <w:sz w:val="28"/>
        </w:rPr>
        <w:t>
      За последнее десятилетие политика в области строительства доступного жилья Турции вышла на новый этап в контексте создания единого оператора жилья "TOKi". Основным направлением является малоэтажная застройка с акцентом на "горизонтальную урбанизацию" (50 тыс. ед. жилья). Социальное жилье ориентировано на семьи с низким доходом, а ежемесячные платежи зависят от темпов роста заработной платы в государственном секторе и инфляции. Условия по ипотеке "TOKi" устанавливаются в зависимости от финансовых возможностей семьи (в среднем от 10 до 20 лет).</w:t>
      </w:r>
    </w:p>
    <w:bookmarkEnd w:id="197"/>
    <w:bookmarkStart w:name="z917" w:id="198"/>
    <w:p>
      <w:pPr>
        <w:spacing w:after="0"/>
        <w:ind w:left="0"/>
        <w:jc w:val="both"/>
      </w:pPr>
      <w:r>
        <w:rPr>
          <w:rFonts w:ascii="Times New Roman"/>
          <w:b w:val="false"/>
          <w:i w:val="false"/>
          <w:color w:val="000000"/>
          <w:sz w:val="28"/>
        </w:rPr>
        <w:t xml:space="preserve">
      По опыту России, Японии и Германии внедряются программы капитального ремонта МЖД и реновации "старых кварталов". </w:t>
      </w:r>
    </w:p>
    <w:bookmarkEnd w:id="198"/>
    <w:bookmarkStart w:name="z918" w:id="199"/>
    <w:p>
      <w:pPr>
        <w:spacing w:after="0"/>
        <w:ind w:left="0"/>
        <w:jc w:val="both"/>
      </w:pPr>
      <w:r>
        <w:rPr>
          <w:rFonts w:ascii="Times New Roman"/>
          <w:b w:val="false"/>
          <w:i w:val="false"/>
          <w:color w:val="000000"/>
          <w:sz w:val="28"/>
        </w:rPr>
        <w:t>
      Политика европейских стран направлена на реконструкцию и модернизацию старого жилищного фонда. Другие же, такие как США, Япония, Турция, заменяли старые кварталы новыми.</w:t>
      </w:r>
    </w:p>
    <w:bookmarkEnd w:id="199"/>
    <w:bookmarkStart w:name="z919" w:id="200"/>
    <w:p>
      <w:pPr>
        <w:spacing w:after="0"/>
        <w:ind w:left="0"/>
        <w:jc w:val="both"/>
      </w:pPr>
      <w:r>
        <w:rPr>
          <w:rFonts w:ascii="Times New Roman"/>
          <w:b w:val="false"/>
          <w:i w:val="false"/>
          <w:color w:val="000000"/>
          <w:sz w:val="28"/>
        </w:rPr>
        <w:t>
      На основе зарубежного опыта в 2020 году внедрили на законодательной основе переход на новые формы управления объектами кондоминиума.</w:t>
      </w:r>
    </w:p>
    <w:bookmarkEnd w:id="200"/>
    <w:bookmarkStart w:name="z920" w:id="201"/>
    <w:p>
      <w:pPr>
        <w:spacing w:after="0"/>
        <w:ind w:left="0"/>
        <w:jc w:val="both"/>
      </w:pPr>
      <w:r>
        <w:rPr>
          <w:rFonts w:ascii="Times New Roman"/>
          <w:b w:val="false"/>
          <w:i w:val="false"/>
          <w:color w:val="000000"/>
          <w:sz w:val="28"/>
        </w:rPr>
        <w:t>
      В Германии законодательством определены организационные принципы жилищных кооперативов собственников жилья, которые осуществляют некоммерческую деятельность. С целью накопления средств для осуществления мелкого либо капитального ремонта здания, а также мест общественного пользования, существует коммунальная касса. Ежегодно на собраниях домоуправления и владельцев принимаются решения о планируемых мероприятиях, проводимых в доме (покраска фасада, установка лифта, ремонт, строительство детской площадки и т.п.), и объеме средств, которые владельцы будут вносить в коммунальную кассу.</w:t>
      </w:r>
    </w:p>
    <w:bookmarkEnd w:id="201"/>
    <w:bookmarkStart w:name="z921" w:id="202"/>
    <w:p>
      <w:pPr>
        <w:spacing w:after="0"/>
        <w:ind w:left="0"/>
        <w:jc w:val="both"/>
      </w:pPr>
      <w:r>
        <w:rPr>
          <w:rFonts w:ascii="Times New Roman"/>
          <w:b w:val="false"/>
          <w:i w:val="false"/>
          <w:color w:val="000000"/>
          <w:sz w:val="28"/>
        </w:rPr>
        <w:t>
      В России, как и в Казахстане жилищная инспекция осуществляет контрольно-надзорные функции. Вместе с тем, отличием российской системы является централизованный жилищный надзор, что позволяет в полной мере обеспечить должный контроль за сохранением жилищного фонда.</w:t>
      </w:r>
    </w:p>
    <w:bookmarkEnd w:id="202"/>
    <w:bookmarkStart w:name="z922" w:id="203"/>
    <w:p>
      <w:pPr>
        <w:spacing w:after="0"/>
        <w:ind w:left="0"/>
        <w:jc w:val="both"/>
      </w:pPr>
      <w:r>
        <w:rPr>
          <w:rFonts w:ascii="Times New Roman"/>
          <w:b w:val="false"/>
          <w:i w:val="false"/>
          <w:color w:val="000000"/>
          <w:sz w:val="28"/>
        </w:rPr>
        <w:t xml:space="preserve">
      Для Казахстана интересен зарубежный опыт развития арендного рынка жилья с привлечением институциональных инвесторов, внедрение цифровых инструментов, механизмы управления и сохранения жилищного фонда. </w:t>
      </w:r>
    </w:p>
    <w:bookmarkEnd w:id="203"/>
    <w:bookmarkStart w:name="z923" w:id="204"/>
    <w:p>
      <w:pPr>
        <w:spacing w:after="0"/>
        <w:ind w:left="0"/>
        <w:jc w:val="left"/>
      </w:pPr>
      <w:r>
        <w:rPr>
          <w:rFonts w:ascii="Times New Roman"/>
          <w:b/>
          <w:i w:val="false"/>
          <w:color w:val="000000"/>
        </w:rPr>
        <w:t xml:space="preserve"> 4. Видение развития жилищно-коммунальной инфраструктуры</w:t>
      </w:r>
    </w:p>
    <w:bookmarkEnd w:id="204"/>
    <w:bookmarkStart w:name="z924" w:id="205"/>
    <w:p>
      <w:pPr>
        <w:spacing w:after="0"/>
        <w:ind w:left="0"/>
        <w:jc w:val="both"/>
      </w:pPr>
      <w:r>
        <w:rPr>
          <w:rFonts w:ascii="Times New Roman"/>
          <w:b w:val="false"/>
          <w:i w:val="false"/>
          <w:color w:val="000000"/>
          <w:sz w:val="28"/>
        </w:rPr>
        <w:t>
      Концепция развития жилищно-коммунальной инфраструктуры на 2023 – 2029 годы (далее – Концепция) разработана в соответствии с Системой государственного планирования в Республике Казахстан и определяет основные направления обеспечения населения комфортными условиями проживания.</w:t>
      </w:r>
    </w:p>
    <w:bookmarkEnd w:id="205"/>
    <w:bookmarkStart w:name="z925" w:id="206"/>
    <w:p>
      <w:pPr>
        <w:spacing w:after="0"/>
        <w:ind w:left="0"/>
        <w:jc w:val="both"/>
      </w:pPr>
      <w:r>
        <w:rPr>
          <w:rFonts w:ascii="Times New Roman"/>
          <w:b w:val="false"/>
          <w:i w:val="false"/>
          <w:color w:val="000000"/>
          <w:sz w:val="28"/>
        </w:rPr>
        <w:t>
      Принимаемые меры будут направлены на обновление и наращивание жилищного фонда, модернизацию и развитие коммунальной инфраструктуры, внедряемые интеллектуальные системы и цифровые технологии направлены на удовлетворение основных ожиданий и интересов населения страны и способствуют повышению равного доступа к базовым услугам жизнедеятельности.</w:t>
      </w:r>
    </w:p>
    <w:bookmarkEnd w:id="206"/>
    <w:bookmarkStart w:name="z926" w:id="207"/>
    <w:p>
      <w:pPr>
        <w:spacing w:after="0"/>
        <w:ind w:left="0"/>
        <w:jc w:val="both"/>
      </w:pPr>
      <w:r>
        <w:rPr>
          <w:rFonts w:ascii="Times New Roman"/>
          <w:b w:val="false"/>
          <w:i w:val="false"/>
          <w:color w:val="000000"/>
          <w:sz w:val="28"/>
        </w:rPr>
        <w:t>
      Пересмотр подходов в формировании тарифной политики обеспечит привлечение инвестиций в коммунальный сектор.</w:t>
      </w:r>
    </w:p>
    <w:bookmarkEnd w:id="207"/>
    <w:bookmarkStart w:name="z927" w:id="208"/>
    <w:p>
      <w:pPr>
        <w:spacing w:after="0"/>
        <w:ind w:left="0"/>
        <w:jc w:val="both"/>
      </w:pPr>
      <w:r>
        <w:rPr>
          <w:rFonts w:ascii="Times New Roman"/>
          <w:b w:val="false"/>
          <w:i w:val="false"/>
          <w:color w:val="000000"/>
          <w:sz w:val="28"/>
        </w:rPr>
        <w:t xml:space="preserve">
      Внедряемая цифровизация и интеллектуальные системы позволят привести на смену всеобщему надзору smart-контроль, что обеспечит более эффективную систему управления и контроля. </w:t>
      </w:r>
    </w:p>
    <w:bookmarkEnd w:id="208"/>
    <w:bookmarkStart w:name="z928" w:id="209"/>
    <w:p>
      <w:pPr>
        <w:spacing w:after="0"/>
        <w:ind w:left="0"/>
        <w:jc w:val="both"/>
      </w:pPr>
      <w:r>
        <w:rPr>
          <w:rFonts w:ascii="Times New Roman"/>
          <w:b w:val="false"/>
          <w:i w:val="false"/>
          <w:color w:val="000000"/>
          <w:sz w:val="28"/>
        </w:rPr>
        <w:t>
      В рамках мер по декарбонизации будут обеспечены надежность функционирования и энергетическая эффективность коммунальных систем и жилищного фонда.</w:t>
      </w:r>
    </w:p>
    <w:bookmarkEnd w:id="209"/>
    <w:bookmarkStart w:name="z929" w:id="210"/>
    <w:p>
      <w:pPr>
        <w:spacing w:after="0"/>
        <w:ind w:left="0"/>
        <w:jc w:val="both"/>
      </w:pPr>
      <w:r>
        <w:rPr>
          <w:rFonts w:ascii="Times New Roman"/>
          <w:b w:val="false"/>
          <w:i w:val="false"/>
          <w:color w:val="000000"/>
          <w:sz w:val="28"/>
        </w:rPr>
        <w:t>
      Применение энергосберегающих технологий и приборизация в коммунальной сфере приведут к сокращению потерь и снижению расходов за коммунальные услуги для потребителей.</w:t>
      </w:r>
    </w:p>
    <w:bookmarkEnd w:id="210"/>
    <w:bookmarkStart w:name="z930" w:id="211"/>
    <w:p>
      <w:pPr>
        <w:spacing w:after="0"/>
        <w:ind w:left="0"/>
        <w:jc w:val="both"/>
      </w:pPr>
      <w:r>
        <w:rPr>
          <w:rFonts w:ascii="Times New Roman"/>
          <w:b w:val="false"/>
          <w:i w:val="false"/>
          <w:color w:val="000000"/>
          <w:sz w:val="28"/>
        </w:rPr>
        <w:t>
      В ближайшие годы продолжится сбалансированная политика строительства жилья в регионах с учетом градостроительного планирования и обеспеченности инженерной инфраструктурой. Будет увеличен объем вовлекаемых в оборот земельных участков для целей жилищного строительства и обеспечены условия для развития производства отечественных производителей с гарантированным объемом спроса.</w:t>
      </w:r>
    </w:p>
    <w:bookmarkEnd w:id="211"/>
    <w:bookmarkStart w:name="z931" w:id="212"/>
    <w:p>
      <w:pPr>
        <w:spacing w:after="0"/>
        <w:ind w:left="0"/>
        <w:jc w:val="both"/>
      </w:pPr>
      <w:r>
        <w:rPr>
          <w:rFonts w:ascii="Times New Roman"/>
          <w:b w:val="false"/>
          <w:i w:val="false"/>
          <w:color w:val="000000"/>
          <w:sz w:val="28"/>
        </w:rPr>
        <w:t>
      Поддержка индивидуального жилищного строительства, инфраструктурное обеспечение территорий застройки и формирование комфортной среды, предусматриваемых в рамках Концепции, позволят повысить интенсивность освоения сельских территорий.</w:t>
      </w:r>
    </w:p>
    <w:bookmarkEnd w:id="212"/>
    <w:bookmarkStart w:name="z932" w:id="213"/>
    <w:p>
      <w:pPr>
        <w:spacing w:after="0"/>
        <w:ind w:left="0"/>
        <w:jc w:val="both"/>
      </w:pPr>
      <w:r>
        <w:rPr>
          <w:rFonts w:ascii="Times New Roman"/>
          <w:b w:val="false"/>
          <w:i w:val="false"/>
          <w:color w:val="000000"/>
          <w:sz w:val="28"/>
        </w:rPr>
        <w:t>
      Главными инструментами дальнейшего улучшения жилищных условий большей части населения станут цивилизованный рынок арендного жилья, долевого участия, доступный уровень процентной ставки по ипотечным кредитам и целевых субсидий с формированием модели солидарной социальной ответственности бизнеса и граждан.</w:t>
      </w:r>
    </w:p>
    <w:bookmarkEnd w:id="213"/>
    <w:bookmarkStart w:name="z933" w:id="214"/>
    <w:p>
      <w:pPr>
        <w:spacing w:after="0"/>
        <w:ind w:left="0"/>
        <w:jc w:val="both"/>
      </w:pPr>
      <w:r>
        <w:rPr>
          <w:rFonts w:ascii="Times New Roman"/>
          <w:b w:val="false"/>
          <w:i w:val="false"/>
          <w:color w:val="000000"/>
          <w:sz w:val="28"/>
        </w:rPr>
        <w:t>
      Важным условием формирования стабильного спроса и поддержания темпов жилищного строительства и ипотечного кредитования является обеспечение роста реальных доходов населения.</w:t>
      </w:r>
    </w:p>
    <w:bookmarkEnd w:id="214"/>
    <w:bookmarkStart w:name="z934" w:id="215"/>
    <w:p>
      <w:pPr>
        <w:spacing w:after="0"/>
        <w:ind w:left="0"/>
        <w:jc w:val="both"/>
      </w:pPr>
      <w:r>
        <w:rPr>
          <w:rFonts w:ascii="Times New Roman"/>
          <w:b w:val="false"/>
          <w:i w:val="false"/>
          <w:color w:val="000000"/>
          <w:sz w:val="28"/>
        </w:rPr>
        <w:t xml:space="preserve">
      Будут реализованы меры по кадровому, научному и ресурсному обеспечению жилищно-коммунальной сферы и строительной отрасли. </w:t>
      </w:r>
    </w:p>
    <w:bookmarkEnd w:id="215"/>
    <w:bookmarkStart w:name="z935" w:id="216"/>
    <w:p>
      <w:pPr>
        <w:spacing w:after="0"/>
        <w:ind w:left="0"/>
        <w:jc w:val="both"/>
      </w:pPr>
      <w:r>
        <w:rPr>
          <w:rFonts w:ascii="Times New Roman"/>
          <w:b w:val="false"/>
          <w:i w:val="false"/>
          <w:color w:val="000000"/>
          <w:sz w:val="28"/>
        </w:rPr>
        <w:t>
      Создаваемые единые информационно-аналитические центры обеспечат межотраслевую координацию, оперативную и эффективную систему принятия управленческих решений.</w:t>
      </w:r>
    </w:p>
    <w:bookmarkEnd w:id="216"/>
    <w:bookmarkStart w:name="z936" w:id="217"/>
    <w:p>
      <w:pPr>
        <w:spacing w:after="0"/>
        <w:ind w:left="0"/>
        <w:jc w:val="both"/>
      </w:pPr>
      <w:r>
        <w:rPr>
          <w:rFonts w:ascii="Times New Roman"/>
          <w:b w:val="false"/>
          <w:i w:val="false"/>
          <w:color w:val="000000"/>
          <w:sz w:val="28"/>
        </w:rPr>
        <w:t>
      Уполномоченным органом в сфере экологии будут приняты системные меры по недопущению образования стихийных свалок и ликвидации действующих путем внедрения нормативных требований, лицензирования предприятий, занимающихся переработкой и утилизацией опасных отходов, формирования экологической культуры и воспитания, внедрения цифровизации экологической информации, системы раздельного сбора и вторичной переработки бытовых отходов.</w:t>
      </w:r>
    </w:p>
    <w:bookmarkEnd w:id="217"/>
    <w:bookmarkStart w:name="z937" w:id="218"/>
    <w:p>
      <w:pPr>
        <w:spacing w:after="0"/>
        <w:ind w:left="0"/>
        <w:jc w:val="both"/>
      </w:pPr>
      <w:r>
        <w:rPr>
          <w:rFonts w:ascii="Times New Roman"/>
          <w:b w:val="false"/>
          <w:i w:val="false"/>
          <w:color w:val="000000"/>
          <w:sz w:val="28"/>
        </w:rPr>
        <w:t>
      Развитие жилищно-коммунальной инфраструктуры в населенных пунктах будет осуществлено с учетом особенностей каждого региона и параметров системы региональных стандартов, предусматривающих конкретный перечень услуг и благ (для сельских округов, сел, райцентров и городов районного значения от 29 до 49, для городов областного и республиканского значения – 56).</w:t>
      </w:r>
    </w:p>
    <w:bookmarkEnd w:id="218"/>
    <w:bookmarkStart w:name="z938" w:id="219"/>
    <w:p>
      <w:pPr>
        <w:spacing w:after="0"/>
        <w:ind w:left="0"/>
        <w:jc w:val="both"/>
      </w:pPr>
      <w:r>
        <w:rPr>
          <w:rFonts w:ascii="Times New Roman"/>
          <w:b w:val="false"/>
          <w:i w:val="false"/>
          <w:color w:val="000000"/>
          <w:sz w:val="28"/>
        </w:rPr>
        <w:t>
      В целом важнейшим функциональным аспектом развития комплексной инфраструктуры и комфортного жилья станет улучшенный архитектурный облик населенных пунктов, обновятся существующая жилищно-коммунальная инфраструктура и жилищный фонд, повысится качество жилищно-коммунального обслуживания.</w:t>
      </w:r>
    </w:p>
    <w:bookmarkEnd w:id="219"/>
    <w:bookmarkStart w:name="z939" w:id="220"/>
    <w:p>
      <w:pPr>
        <w:spacing w:after="0"/>
        <w:ind w:left="0"/>
        <w:jc w:val="left"/>
      </w:pPr>
      <w:r>
        <w:rPr>
          <w:rFonts w:ascii="Times New Roman"/>
          <w:b/>
          <w:i w:val="false"/>
          <w:color w:val="000000"/>
        </w:rPr>
        <w:t xml:space="preserve"> 5. Основные принципы и подходы</w:t>
      </w:r>
    </w:p>
    <w:bookmarkEnd w:id="220"/>
    <w:bookmarkStart w:name="z940" w:id="221"/>
    <w:p>
      <w:pPr>
        <w:spacing w:after="0"/>
        <w:ind w:left="0"/>
        <w:jc w:val="both"/>
      </w:pPr>
      <w:r>
        <w:rPr>
          <w:rFonts w:ascii="Times New Roman"/>
          <w:b w:val="false"/>
          <w:i w:val="false"/>
          <w:color w:val="000000"/>
          <w:sz w:val="28"/>
        </w:rPr>
        <w:t>
      Основной целью Концепции является обеспечение развития комплексной коммунальной инфраструктуры и комфортного жилья для повышения качества жизни населения и равного доступа к базовым услугам.</w:t>
      </w:r>
    </w:p>
    <w:bookmarkEnd w:id="221"/>
    <w:bookmarkStart w:name="z941" w:id="222"/>
    <w:p>
      <w:pPr>
        <w:spacing w:after="0"/>
        <w:ind w:left="0"/>
        <w:jc w:val="both"/>
      </w:pPr>
      <w:r>
        <w:rPr>
          <w:rFonts w:ascii="Times New Roman"/>
          <w:b w:val="false"/>
          <w:i w:val="false"/>
          <w:color w:val="000000"/>
          <w:sz w:val="28"/>
        </w:rPr>
        <w:t xml:space="preserve">
      Основополагающими принципами развития жилищно-коммунальной инфраструктуры являются: </w:t>
      </w:r>
    </w:p>
    <w:bookmarkEnd w:id="222"/>
    <w:bookmarkStart w:name="z942" w:id="223"/>
    <w:p>
      <w:pPr>
        <w:spacing w:after="0"/>
        <w:ind w:left="0"/>
        <w:jc w:val="both"/>
      </w:pPr>
      <w:r>
        <w:rPr>
          <w:rFonts w:ascii="Times New Roman"/>
          <w:b w:val="false"/>
          <w:i w:val="false"/>
          <w:color w:val="000000"/>
          <w:sz w:val="28"/>
        </w:rPr>
        <w:t>
      принцип "человекоцентричности" – обеспечение минимально обязательного уровня доступности объектов и услуг (благ) населению в зависимости от типа (город, село) и размера (численности населения) населенных пунктов;</w:t>
      </w:r>
    </w:p>
    <w:bookmarkEnd w:id="223"/>
    <w:bookmarkStart w:name="z943" w:id="224"/>
    <w:p>
      <w:pPr>
        <w:spacing w:after="0"/>
        <w:ind w:left="0"/>
        <w:jc w:val="both"/>
      </w:pPr>
      <w:r>
        <w:rPr>
          <w:rFonts w:ascii="Times New Roman"/>
          <w:b w:val="false"/>
          <w:i w:val="false"/>
          <w:color w:val="000000"/>
          <w:sz w:val="28"/>
        </w:rPr>
        <w:t xml:space="preserve">
      принцип системности и эффективности –рассмотрение всех элементов для обеспечения взаимодействия и минимизации затрат, в том числе развитие социального партнерства, техническая, тарифная политика и институциональные реформы, направленные на повышение качества базовых услуг жизнедеятельности; </w:t>
      </w:r>
    </w:p>
    <w:bookmarkEnd w:id="224"/>
    <w:bookmarkStart w:name="z944" w:id="225"/>
    <w:p>
      <w:pPr>
        <w:spacing w:after="0"/>
        <w:ind w:left="0"/>
        <w:jc w:val="both"/>
      </w:pPr>
      <w:r>
        <w:rPr>
          <w:rFonts w:ascii="Times New Roman"/>
          <w:b w:val="false"/>
          <w:i w:val="false"/>
          <w:color w:val="000000"/>
          <w:sz w:val="28"/>
        </w:rPr>
        <w:t>
      принцип надежности функционирования и экологичности – развитие должно быть нацелено на эксплуатацию объектов коммунальной инфраструктуры и жилых зданий с обеспечением их нормального технического состояния, безопасных и комфортных условий проживания с соблюдением санитарно-технических норм и строительных требований.</w:t>
      </w:r>
    </w:p>
    <w:bookmarkEnd w:id="225"/>
    <w:bookmarkStart w:name="z945" w:id="226"/>
    <w:p>
      <w:pPr>
        <w:spacing w:after="0"/>
        <w:ind w:left="0"/>
        <w:jc w:val="both"/>
      </w:pPr>
      <w:r>
        <w:rPr>
          <w:rFonts w:ascii="Times New Roman"/>
          <w:b w:val="false"/>
          <w:i w:val="false"/>
          <w:color w:val="000000"/>
          <w:sz w:val="28"/>
        </w:rPr>
        <w:t>
      Для достижения цели и реализации принципов определены следующие подходы:</w:t>
      </w:r>
    </w:p>
    <w:bookmarkEnd w:id="226"/>
    <w:bookmarkStart w:name="z946" w:id="227"/>
    <w:p>
      <w:pPr>
        <w:spacing w:after="0"/>
        <w:ind w:left="0"/>
        <w:jc w:val="both"/>
      </w:pPr>
      <w:r>
        <w:rPr>
          <w:rFonts w:ascii="Times New Roman"/>
          <w:b w:val="false"/>
          <w:i w:val="false"/>
          <w:color w:val="000000"/>
          <w:sz w:val="28"/>
        </w:rPr>
        <w:t>
      1. Повышение качества жилищно-коммунальных услуг путем развития коммунального сектора.</w:t>
      </w:r>
    </w:p>
    <w:bookmarkEnd w:id="227"/>
    <w:bookmarkStart w:name="z947" w:id="228"/>
    <w:p>
      <w:pPr>
        <w:spacing w:after="0"/>
        <w:ind w:left="0"/>
        <w:jc w:val="both"/>
      </w:pPr>
      <w:r>
        <w:rPr>
          <w:rFonts w:ascii="Times New Roman"/>
          <w:b w:val="false"/>
          <w:i w:val="false"/>
          <w:color w:val="000000"/>
          <w:sz w:val="28"/>
        </w:rPr>
        <w:t>
      Данный подход предусматривает развитие сектора водоотведения, водоснабжения и теплоснабжения за счет применения проектного финансирования, привлечения инвестиций, энергоэффективных технологий и цифровизации.</w:t>
      </w:r>
    </w:p>
    <w:bookmarkEnd w:id="228"/>
    <w:bookmarkStart w:name="z948" w:id="229"/>
    <w:p>
      <w:pPr>
        <w:spacing w:after="0"/>
        <w:ind w:left="0"/>
        <w:jc w:val="both"/>
      </w:pPr>
      <w:r>
        <w:rPr>
          <w:rFonts w:ascii="Times New Roman"/>
          <w:b w:val="false"/>
          <w:i w:val="false"/>
          <w:color w:val="000000"/>
          <w:sz w:val="28"/>
        </w:rPr>
        <w:t>
      2.      Повышение доступности жилья для широких слоев населения за счет развития жилищной инфраструктуры.</w:t>
      </w:r>
    </w:p>
    <w:bookmarkEnd w:id="229"/>
    <w:bookmarkStart w:name="z949" w:id="230"/>
    <w:p>
      <w:pPr>
        <w:spacing w:after="0"/>
        <w:ind w:left="0"/>
        <w:jc w:val="both"/>
      </w:pPr>
      <w:r>
        <w:rPr>
          <w:rFonts w:ascii="Times New Roman"/>
          <w:b w:val="false"/>
          <w:i w:val="false"/>
          <w:color w:val="000000"/>
          <w:sz w:val="28"/>
        </w:rPr>
        <w:t>
      В соответствии с данным подходом будут реализованы необходимые меры для стимулирования строительства жилья, обновления жилищного фонда и определена дальнейшая политика по обеспечению жильем малоимущих граждан.</w:t>
      </w:r>
    </w:p>
    <w:bookmarkEnd w:id="230"/>
    <w:bookmarkStart w:name="z950" w:id="231"/>
    <w:p>
      <w:pPr>
        <w:spacing w:after="0"/>
        <w:ind w:left="0"/>
        <w:jc w:val="both"/>
      </w:pPr>
      <w:r>
        <w:rPr>
          <w:rFonts w:ascii="Times New Roman"/>
          <w:b w:val="false"/>
          <w:i w:val="false"/>
          <w:color w:val="000000"/>
          <w:sz w:val="28"/>
        </w:rPr>
        <w:t>
      При реализации обозначенных подходов будет продолжена модель "люди к инфраструктуре" с обеспечением "бюджетного фильтра" (приоритетного финансирования).</w:t>
      </w:r>
    </w:p>
    <w:bookmarkEnd w:id="231"/>
    <w:bookmarkStart w:name="z951" w:id="232"/>
    <w:p>
      <w:pPr>
        <w:spacing w:after="0"/>
        <w:ind w:left="0"/>
        <w:jc w:val="both"/>
      </w:pPr>
      <w:r>
        <w:rPr>
          <w:rFonts w:ascii="Times New Roman"/>
          <w:b w:val="false"/>
          <w:i w:val="false"/>
          <w:color w:val="000000"/>
          <w:sz w:val="28"/>
        </w:rPr>
        <w:t>
      Механизм рассмотрения и отбора проектов будет осуществляться в рамках действующим норм бюджетного законодательства и отраслевых законодательных актов в сфере энергетики, жилищных отношений, водных ресурсов, о долевом участии в жилищном строительстве.</w:t>
      </w:r>
    </w:p>
    <w:bookmarkEnd w:id="232"/>
    <w:bookmarkStart w:name="z952" w:id="233"/>
    <w:p>
      <w:pPr>
        <w:spacing w:after="0"/>
        <w:ind w:left="0"/>
        <w:jc w:val="both"/>
      </w:pPr>
      <w:r>
        <w:rPr>
          <w:rFonts w:ascii="Times New Roman"/>
          <w:b w:val="false"/>
          <w:i w:val="false"/>
          <w:color w:val="000000"/>
          <w:sz w:val="28"/>
        </w:rPr>
        <w:t>
      Конечными получателями бюджетных субсидий, грантов, займов будет обеспечиваться предоставление субъектам контроля и аудита полной информации по объемам и целевым расходованиям средств.</w:t>
      </w:r>
    </w:p>
    <w:bookmarkEnd w:id="233"/>
    <w:bookmarkStart w:name="z953" w:id="234"/>
    <w:p>
      <w:pPr>
        <w:spacing w:after="0"/>
        <w:ind w:left="0"/>
        <w:jc w:val="both"/>
      </w:pPr>
      <w:r>
        <w:rPr>
          <w:rFonts w:ascii="Times New Roman"/>
          <w:b w:val="false"/>
          <w:i w:val="false"/>
          <w:color w:val="000000"/>
          <w:sz w:val="28"/>
        </w:rPr>
        <w:t>
      Обеспечение развития коммунальной и жилищной инфраструктуры связано с формированием системы градостроительного планирования, в том числе качественных градостроительных проектов всех уровней (генеральных планов, проектов детальной планировки и застройки).</w:t>
      </w:r>
    </w:p>
    <w:bookmarkEnd w:id="234"/>
    <w:bookmarkStart w:name="z954" w:id="235"/>
    <w:p>
      <w:pPr>
        <w:spacing w:after="0"/>
        <w:ind w:left="0"/>
        <w:jc w:val="both"/>
      </w:pPr>
      <w:r>
        <w:rPr>
          <w:rFonts w:ascii="Times New Roman"/>
          <w:b w:val="false"/>
          <w:i w:val="false"/>
          <w:color w:val="000000"/>
          <w:sz w:val="28"/>
        </w:rPr>
        <w:t>
      Для создания единой непрерывно актуализируемой эталонной базы данных градкадастра будут проведены работы по развитию АИС ГГК.</w:t>
      </w:r>
    </w:p>
    <w:bookmarkEnd w:id="235"/>
    <w:bookmarkStart w:name="z955" w:id="236"/>
    <w:p>
      <w:pPr>
        <w:spacing w:after="0"/>
        <w:ind w:left="0"/>
        <w:jc w:val="left"/>
      </w:pPr>
      <w:r>
        <w:rPr>
          <w:rFonts w:ascii="Times New Roman"/>
          <w:b/>
          <w:i w:val="false"/>
          <w:color w:val="000000"/>
        </w:rPr>
        <w:t xml:space="preserve"> Подход 1. Повышение качества жилищно-коммунальных услуг путем развития коммунального сектора </w:t>
      </w:r>
    </w:p>
    <w:bookmarkEnd w:id="236"/>
    <w:bookmarkStart w:name="z956" w:id="237"/>
    <w:p>
      <w:pPr>
        <w:spacing w:after="0"/>
        <w:ind w:left="0"/>
        <w:jc w:val="both"/>
      </w:pPr>
      <w:r>
        <w:rPr>
          <w:rFonts w:ascii="Times New Roman"/>
          <w:b w:val="false"/>
          <w:i w:val="false"/>
          <w:color w:val="000000"/>
          <w:sz w:val="28"/>
        </w:rPr>
        <w:t>
      Для повышения качества коммунальных услуг и надежного функционирования коммунальных систем сектора водоотведения, водоснабжения и теплоснабжения будут приняты следующие меры.</w:t>
      </w:r>
    </w:p>
    <w:bookmarkEnd w:id="237"/>
    <w:bookmarkStart w:name="z957" w:id="238"/>
    <w:p>
      <w:pPr>
        <w:spacing w:after="0"/>
        <w:ind w:left="0"/>
        <w:jc w:val="both"/>
      </w:pPr>
      <w:r>
        <w:rPr>
          <w:rFonts w:ascii="Times New Roman"/>
          <w:b w:val="false"/>
          <w:i w:val="false"/>
          <w:color w:val="000000"/>
          <w:sz w:val="28"/>
        </w:rPr>
        <w:t xml:space="preserve">
      1. Институциональные меры </w:t>
      </w:r>
    </w:p>
    <w:bookmarkEnd w:id="238"/>
    <w:bookmarkStart w:name="z958" w:id="239"/>
    <w:p>
      <w:pPr>
        <w:spacing w:after="0"/>
        <w:ind w:left="0"/>
        <w:jc w:val="both"/>
      </w:pPr>
      <w:r>
        <w:rPr>
          <w:rFonts w:ascii="Times New Roman"/>
          <w:b w:val="false"/>
          <w:i w:val="false"/>
          <w:color w:val="000000"/>
          <w:sz w:val="28"/>
        </w:rPr>
        <w:t>
      Для обеспечения эффективного регулирования инфраструктурой в сфере водных ресурсов и тепловой энергии будут приняты отраслевые законы.</w:t>
      </w:r>
    </w:p>
    <w:bookmarkEnd w:id="239"/>
    <w:bookmarkStart w:name="z959" w:id="240"/>
    <w:p>
      <w:pPr>
        <w:spacing w:after="0"/>
        <w:ind w:left="0"/>
        <w:jc w:val="both"/>
      </w:pPr>
      <w:r>
        <w:rPr>
          <w:rFonts w:ascii="Times New Roman"/>
          <w:b w:val="false"/>
          <w:i w:val="false"/>
          <w:color w:val="000000"/>
          <w:sz w:val="28"/>
        </w:rPr>
        <w:t>
      Для обеспечения эффективной реализации мер в развитии систем тепло-, водоснабжения и водоотведения будет предусмотрено обязательное техническое обследование состояния инженерной инфраструктуры и разработки и утверждения МИО планов развития.</w:t>
      </w:r>
    </w:p>
    <w:bookmarkEnd w:id="240"/>
    <w:bookmarkStart w:name="z960" w:id="241"/>
    <w:p>
      <w:pPr>
        <w:spacing w:after="0"/>
        <w:ind w:left="0"/>
        <w:jc w:val="both"/>
      </w:pPr>
      <w:r>
        <w:rPr>
          <w:rFonts w:ascii="Times New Roman"/>
          <w:b w:val="false"/>
          <w:i w:val="false"/>
          <w:color w:val="000000"/>
          <w:sz w:val="28"/>
        </w:rPr>
        <w:t xml:space="preserve">
      Для обеспечения межотраслевой координации среди уполномоченных государственных органов, затрагивающих реализацию услуг в жилищно-коммунальной сфере, будет создан Национальный центр жилищно-коммунальной инфраструктуры на базе АО "КазЦентр ЖКХ" (далее – КазЦентр ЖКХ). </w:t>
      </w:r>
    </w:p>
    <w:bookmarkEnd w:id="241"/>
    <w:bookmarkStart w:name="z961" w:id="242"/>
    <w:p>
      <w:pPr>
        <w:spacing w:after="0"/>
        <w:ind w:left="0"/>
        <w:jc w:val="both"/>
      </w:pPr>
      <w:r>
        <w:rPr>
          <w:rFonts w:ascii="Times New Roman"/>
          <w:b w:val="false"/>
          <w:i w:val="false"/>
          <w:color w:val="000000"/>
          <w:sz w:val="28"/>
        </w:rPr>
        <w:t>
      КазЦентр ЖКХ будет осуществлять активную роль в развитии сектора теплоснабжения, водоснабжения и водоотведения со следующими основными функциями: повышение инвестиционной привлекательности жилищно-коммунального хозяйства в целях модернизации и развития, проведение аналитических и научных исследований, внедрение инновационных технологий в сфере жилищно-коммунального хозяйства, определение оптимальной модели модернизации и развития жилищно-коммунального хозяйства.</w:t>
      </w:r>
    </w:p>
    <w:bookmarkEnd w:id="242"/>
    <w:bookmarkStart w:name="z962" w:id="243"/>
    <w:p>
      <w:pPr>
        <w:spacing w:after="0"/>
        <w:ind w:left="0"/>
        <w:jc w:val="both"/>
      </w:pPr>
      <w:r>
        <w:rPr>
          <w:rFonts w:ascii="Times New Roman"/>
          <w:b w:val="false"/>
          <w:i w:val="false"/>
          <w:color w:val="000000"/>
          <w:sz w:val="28"/>
        </w:rPr>
        <w:t>
      МИО обеспечат разработку и утверждение региональных планов по реализации инвестиционных проектов строительства, реконструкции и модернизации систем тепло-, водоснабжения, водоотведения, электрических сетей региональных электросетевых компаний, находящихся в коммунальной собственности, приборизации, автоматизации и цифровизации (далее – региональный план) с указанием информации о фактическом технико-экономическом состоянии сетей и объектов, источниках финансирования и поэтапных сроков реализации.</w:t>
      </w:r>
    </w:p>
    <w:bookmarkEnd w:id="243"/>
    <w:bookmarkStart w:name="z963" w:id="244"/>
    <w:p>
      <w:pPr>
        <w:spacing w:after="0"/>
        <w:ind w:left="0"/>
        <w:jc w:val="both"/>
      </w:pPr>
      <w:r>
        <w:rPr>
          <w:rFonts w:ascii="Times New Roman"/>
          <w:b w:val="false"/>
          <w:i w:val="false"/>
          <w:color w:val="000000"/>
          <w:sz w:val="28"/>
        </w:rPr>
        <w:t>
      Для формирования регионального плана в целях получения полной и достоверной информации о фактическом технико-экономическом состоянии объектов коммунальной инфраструктуры будет проведен аудит состояния сетей теплоснабжения, водоснабжения и водоотведения.</w:t>
      </w:r>
    </w:p>
    <w:bookmarkEnd w:id="244"/>
    <w:bookmarkStart w:name="z964" w:id="245"/>
    <w:p>
      <w:pPr>
        <w:spacing w:after="0"/>
        <w:ind w:left="0"/>
        <w:jc w:val="both"/>
      </w:pPr>
      <w:r>
        <w:rPr>
          <w:rFonts w:ascii="Times New Roman"/>
          <w:b w:val="false"/>
          <w:i w:val="false"/>
          <w:color w:val="000000"/>
          <w:sz w:val="28"/>
        </w:rPr>
        <w:t xml:space="preserve">
      2. Реализация инфраструктурных проектов в рамках бюджетного финансирования </w:t>
      </w:r>
    </w:p>
    <w:bookmarkEnd w:id="245"/>
    <w:bookmarkStart w:name="z965" w:id="246"/>
    <w:p>
      <w:pPr>
        <w:spacing w:after="0"/>
        <w:ind w:left="0"/>
        <w:jc w:val="both"/>
      </w:pPr>
      <w:r>
        <w:rPr>
          <w:rFonts w:ascii="Times New Roman"/>
          <w:b w:val="false"/>
          <w:i w:val="false"/>
          <w:color w:val="000000"/>
          <w:sz w:val="28"/>
        </w:rPr>
        <w:t>
      Будет применен метод проектного финансирования при строительстве новых модернизации и реконструкции действующих объектов за счет средств республиканского и местных бюджетов (субсидии, целевые трансферты и бюджетные кредиты).</w:t>
      </w:r>
    </w:p>
    <w:bookmarkEnd w:id="246"/>
    <w:bookmarkStart w:name="z966" w:id="247"/>
    <w:p>
      <w:pPr>
        <w:spacing w:after="0"/>
        <w:ind w:left="0"/>
        <w:jc w:val="both"/>
      </w:pPr>
      <w:r>
        <w:rPr>
          <w:rFonts w:ascii="Times New Roman"/>
          <w:b w:val="false"/>
          <w:i w:val="false"/>
          <w:color w:val="000000"/>
          <w:sz w:val="28"/>
        </w:rPr>
        <w:t>
      Основными критериями финансирования проектов будут являться:</w:t>
      </w:r>
    </w:p>
    <w:bookmarkEnd w:id="247"/>
    <w:bookmarkStart w:name="z967" w:id="248"/>
    <w:p>
      <w:pPr>
        <w:spacing w:after="0"/>
        <w:ind w:left="0"/>
        <w:jc w:val="both"/>
      </w:pPr>
      <w:r>
        <w:rPr>
          <w:rFonts w:ascii="Times New Roman"/>
          <w:b w:val="false"/>
          <w:i w:val="false"/>
          <w:color w:val="000000"/>
          <w:sz w:val="28"/>
        </w:rPr>
        <w:t xml:space="preserve">
      отсутствие в населенном пункте объектов (систем) или степень фактического износа объектов (систем) не менее 50 %; </w:t>
      </w:r>
    </w:p>
    <w:bookmarkEnd w:id="248"/>
    <w:bookmarkStart w:name="z968" w:id="249"/>
    <w:p>
      <w:pPr>
        <w:spacing w:after="0"/>
        <w:ind w:left="0"/>
        <w:jc w:val="both"/>
      </w:pPr>
      <w:r>
        <w:rPr>
          <w:rFonts w:ascii="Times New Roman"/>
          <w:b w:val="false"/>
          <w:i w:val="false"/>
          <w:color w:val="000000"/>
          <w:sz w:val="28"/>
        </w:rPr>
        <w:t>
      применение современных материалов, оборудования, приборов и технологий, отвечающих требованиям надежности, ремонтопригодности, а также обеспечивающих удаленное управление системой;</w:t>
      </w:r>
    </w:p>
    <w:bookmarkEnd w:id="249"/>
    <w:bookmarkStart w:name="z969" w:id="250"/>
    <w:p>
      <w:pPr>
        <w:spacing w:after="0"/>
        <w:ind w:left="0"/>
        <w:jc w:val="both"/>
      </w:pPr>
      <w:r>
        <w:rPr>
          <w:rFonts w:ascii="Times New Roman"/>
          <w:b w:val="false"/>
          <w:i w:val="false"/>
          <w:color w:val="000000"/>
          <w:sz w:val="28"/>
        </w:rPr>
        <w:t>
      отсутствие негативного воздействия на окружающую среду, в том числе сброс сточных вод в реки, озера;</w:t>
      </w:r>
    </w:p>
    <w:bookmarkEnd w:id="250"/>
    <w:bookmarkStart w:name="z970" w:id="251"/>
    <w:p>
      <w:pPr>
        <w:spacing w:after="0"/>
        <w:ind w:left="0"/>
        <w:jc w:val="both"/>
      </w:pPr>
      <w:r>
        <w:rPr>
          <w:rFonts w:ascii="Times New Roman"/>
          <w:b w:val="false"/>
          <w:i w:val="false"/>
          <w:color w:val="000000"/>
          <w:sz w:val="28"/>
        </w:rPr>
        <w:t>
      численность населения.</w:t>
      </w:r>
    </w:p>
    <w:bookmarkEnd w:id="251"/>
    <w:bookmarkStart w:name="z971" w:id="252"/>
    <w:p>
      <w:pPr>
        <w:spacing w:after="0"/>
        <w:ind w:left="0"/>
        <w:jc w:val="both"/>
      </w:pPr>
      <w:r>
        <w:rPr>
          <w:rFonts w:ascii="Times New Roman"/>
          <w:b w:val="false"/>
          <w:i w:val="false"/>
          <w:color w:val="000000"/>
          <w:sz w:val="28"/>
        </w:rPr>
        <w:t>
      В приоритетном порядке будут реализовываться проекты систем водоотведения в крупных сельских населенных пунктах с высоким потенциалом развития.</w:t>
      </w:r>
    </w:p>
    <w:bookmarkEnd w:id="252"/>
    <w:bookmarkStart w:name="z972" w:id="253"/>
    <w:p>
      <w:pPr>
        <w:spacing w:after="0"/>
        <w:ind w:left="0"/>
        <w:jc w:val="both"/>
      </w:pPr>
      <w:r>
        <w:rPr>
          <w:rFonts w:ascii="Times New Roman"/>
          <w:b w:val="false"/>
          <w:i w:val="false"/>
          <w:color w:val="000000"/>
          <w:sz w:val="28"/>
        </w:rPr>
        <w:t>
      К концу 2025 года будут обеспечены 27 городов, 432 СНП централизованным водоснабжением и 963 СНП с численностью населения до 200 человек комплексными блок - модулями и пунктами раздачи воды.</w:t>
      </w:r>
    </w:p>
    <w:bookmarkEnd w:id="253"/>
    <w:bookmarkStart w:name="z973" w:id="254"/>
    <w:p>
      <w:pPr>
        <w:spacing w:after="0"/>
        <w:ind w:left="0"/>
        <w:jc w:val="both"/>
      </w:pPr>
      <w:r>
        <w:rPr>
          <w:rFonts w:ascii="Times New Roman"/>
          <w:b w:val="false"/>
          <w:i w:val="false"/>
          <w:color w:val="000000"/>
          <w:sz w:val="28"/>
        </w:rPr>
        <w:t>
      Износ сетей водоотведения, водоснабжения и теплоснабжения будет снижен с 51 % до 40 % к 2029 году.</w:t>
      </w:r>
    </w:p>
    <w:bookmarkEnd w:id="254"/>
    <w:bookmarkStart w:name="z974" w:id="255"/>
    <w:p>
      <w:pPr>
        <w:spacing w:after="0"/>
        <w:ind w:left="0"/>
        <w:jc w:val="both"/>
      </w:pPr>
      <w:r>
        <w:rPr>
          <w:rFonts w:ascii="Times New Roman"/>
          <w:b w:val="false"/>
          <w:i w:val="false"/>
          <w:color w:val="000000"/>
          <w:sz w:val="28"/>
        </w:rPr>
        <w:t>
      3. Создание условий для повышения инвестиционной привлекательности за счет финансовых инструментов, тарифной политики и налоговых преференций.</w:t>
      </w:r>
    </w:p>
    <w:bookmarkEnd w:id="255"/>
    <w:bookmarkStart w:name="z975" w:id="256"/>
    <w:p>
      <w:pPr>
        <w:spacing w:after="0"/>
        <w:ind w:left="0"/>
        <w:jc w:val="both"/>
      </w:pPr>
      <w:r>
        <w:rPr>
          <w:rFonts w:ascii="Times New Roman"/>
          <w:b w:val="false"/>
          <w:i w:val="false"/>
          <w:color w:val="000000"/>
          <w:sz w:val="28"/>
        </w:rPr>
        <w:t>
      Механизм финансирования проектов по строительству, реконструкции, модернизации систем тепло-, водоснабжения и водоотведения за счет бюджетных средств, займов финансовых институтов, собственных средств субъектов естественных монополий (далее – СЕМ) и других источников будет моделироваться по принципу "Тариф в обмен на инвестиции".</w:t>
      </w:r>
    </w:p>
    <w:bookmarkEnd w:id="256"/>
    <w:bookmarkStart w:name="z976" w:id="257"/>
    <w:p>
      <w:pPr>
        <w:spacing w:after="0"/>
        <w:ind w:left="0"/>
        <w:jc w:val="both"/>
      </w:pPr>
      <w:r>
        <w:rPr>
          <w:rFonts w:ascii="Times New Roman"/>
          <w:b w:val="false"/>
          <w:i w:val="false"/>
          <w:color w:val="000000"/>
          <w:sz w:val="28"/>
        </w:rPr>
        <w:t>
      Кроме того, механизм "Тариф в обмен на инвестиции" позволит дополнительно привлечь инвестиции в коммунальную сферу, а также простимулирует восстановление изношенных сетей и оборудования.</w:t>
      </w:r>
    </w:p>
    <w:bookmarkEnd w:id="257"/>
    <w:bookmarkStart w:name="z977" w:id="258"/>
    <w:p>
      <w:pPr>
        <w:spacing w:after="0"/>
        <w:ind w:left="0"/>
        <w:jc w:val="both"/>
      </w:pPr>
      <w:r>
        <w:rPr>
          <w:rFonts w:ascii="Times New Roman"/>
          <w:b w:val="false"/>
          <w:i w:val="false"/>
          <w:color w:val="000000"/>
          <w:sz w:val="28"/>
        </w:rPr>
        <w:t>
      Будет рассмотрена возможность введения механизма стимулирования СЕМ путем установления льгот по налогу на имущество в части вновь построенных (модернизированных) объектов коммунальной инфраструктуры.</w:t>
      </w:r>
    </w:p>
    <w:bookmarkEnd w:id="258"/>
    <w:bookmarkStart w:name="z978" w:id="259"/>
    <w:p>
      <w:pPr>
        <w:spacing w:after="0"/>
        <w:ind w:left="0"/>
        <w:jc w:val="both"/>
      </w:pPr>
      <w:r>
        <w:rPr>
          <w:rFonts w:ascii="Times New Roman"/>
          <w:b w:val="false"/>
          <w:i w:val="false"/>
          <w:color w:val="000000"/>
          <w:sz w:val="28"/>
        </w:rPr>
        <w:t>
      Будут реализованы проекты по строительству и модернизации КОС в 68 городах за счет собственных средств СЕМ, бюджетного финансирования, привлечения займов международных финансовых организаций (далее – МФО) под государственную гарантию Правительства, ГЧП, облигационных займов субъектов квазигосударственного сектора.</w:t>
      </w:r>
    </w:p>
    <w:bookmarkEnd w:id="259"/>
    <w:bookmarkStart w:name="z979" w:id="260"/>
    <w:p>
      <w:pPr>
        <w:spacing w:after="0"/>
        <w:ind w:left="0"/>
        <w:jc w:val="both"/>
      </w:pPr>
      <w:r>
        <w:rPr>
          <w:rFonts w:ascii="Times New Roman"/>
          <w:b w:val="false"/>
          <w:i w:val="false"/>
          <w:color w:val="000000"/>
          <w:sz w:val="28"/>
        </w:rPr>
        <w:t>
      По проектам, предполагаемым к совместному финансированию с финансовыми институтами, КазЦентр ЖКХ в качестве оператора будет осуществлять координацию с финансовыми организациями по вопросам подготовки проектов в ЖКХ, структурирования схемы финансирования и реализации проектов.</w:t>
      </w:r>
    </w:p>
    <w:bookmarkEnd w:id="260"/>
    <w:bookmarkStart w:name="z980" w:id="261"/>
    <w:p>
      <w:pPr>
        <w:spacing w:after="0"/>
        <w:ind w:left="0"/>
        <w:jc w:val="both"/>
      </w:pPr>
      <w:r>
        <w:rPr>
          <w:rFonts w:ascii="Times New Roman"/>
          <w:b w:val="false"/>
          <w:i w:val="false"/>
          <w:color w:val="000000"/>
          <w:sz w:val="28"/>
        </w:rPr>
        <w:t>
      В целях снижения нагрузки на тариф планируется субсидирование затрат организаций по погашению и обслуживанию займов из республиканского и местных бюджетов с постепенным ежегодным снижением объема субсидий из государственного бюджета. В результате общий объем субсидий из республиканского бюджета не должен превысить сумму основного долга по привлекаемому займу.</w:t>
      </w:r>
    </w:p>
    <w:bookmarkEnd w:id="261"/>
    <w:bookmarkStart w:name="z981" w:id="262"/>
    <w:p>
      <w:pPr>
        <w:spacing w:after="0"/>
        <w:ind w:left="0"/>
        <w:jc w:val="both"/>
      </w:pPr>
      <w:r>
        <w:rPr>
          <w:rFonts w:ascii="Times New Roman"/>
          <w:b w:val="false"/>
          <w:i w:val="false"/>
          <w:color w:val="000000"/>
          <w:sz w:val="28"/>
        </w:rPr>
        <w:t>
      Для субсидирования затрат водоканалов по обслуживанию и погашению займов из других источников уполномоченным органом будет разработан новый механизм субсидирования.</w:t>
      </w:r>
    </w:p>
    <w:bookmarkEnd w:id="262"/>
    <w:bookmarkStart w:name="z982" w:id="263"/>
    <w:p>
      <w:pPr>
        <w:spacing w:after="0"/>
        <w:ind w:left="0"/>
        <w:jc w:val="both"/>
      </w:pPr>
      <w:r>
        <w:rPr>
          <w:rFonts w:ascii="Times New Roman"/>
          <w:b w:val="false"/>
          <w:i w:val="false"/>
          <w:color w:val="000000"/>
          <w:sz w:val="28"/>
        </w:rPr>
        <w:t>
      Для получения водоканалами государственной гарантии и погашения негосударственных займов за счет выплат (платежей) из республиканского и местных бюджетов будет рассмотрена возможность включения проектов КОС в перечень социально-значимых проектов, утверждаемый уполномоченными органами по государственному планированию и исполнению бюджета.</w:t>
      </w:r>
    </w:p>
    <w:bookmarkEnd w:id="263"/>
    <w:bookmarkStart w:name="z983" w:id="264"/>
    <w:p>
      <w:pPr>
        <w:spacing w:after="0"/>
        <w:ind w:left="0"/>
        <w:jc w:val="both"/>
      </w:pPr>
      <w:r>
        <w:rPr>
          <w:rFonts w:ascii="Times New Roman"/>
          <w:b w:val="false"/>
          <w:i w:val="false"/>
          <w:color w:val="000000"/>
          <w:sz w:val="28"/>
        </w:rPr>
        <w:t>
      В рамках средств республиканского бюджета будут первоочередно рассматриваться объекты КОС, находящиеся в коммунальной собственности, в управлении, хозяйственном ведении, на балансе организаций в которых 50 % и более принадлежит государству и которые после ввода в эксплуатацию будут переданы в коммунальную собственность.</w:t>
      </w:r>
    </w:p>
    <w:bookmarkEnd w:id="264"/>
    <w:bookmarkStart w:name="z984" w:id="265"/>
    <w:p>
      <w:pPr>
        <w:spacing w:after="0"/>
        <w:ind w:left="0"/>
        <w:jc w:val="both"/>
      </w:pPr>
      <w:r>
        <w:rPr>
          <w:rFonts w:ascii="Times New Roman"/>
          <w:b w:val="false"/>
          <w:i w:val="false"/>
          <w:color w:val="000000"/>
          <w:sz w:val="28"/>
        </w:rPr>
        <w:t>
      Реконструкция, в том числе техническое перевооружение, модернизация и расширение КОС, находящихся в частной собственности, будут предусматриваться за счет внебюджетных инвестиций, в том числе в рамках инвестиционных программ СЕМ.</w:t>
      </w:r>
    </w:p>
    <w:bookmarkEnd w:id="265"/>
    <w:bookmarkStart w:name="z985" w:id="266"/>
    <w:p>
      <w:pPr>
        <w:spacing w:after="0"/>
        <w:ind w:left="0"/>
        <w:jc w:val="both"/>
      </w:pPr>
      <w:r>
        <w:rPr>
          <w:rFonts w:ascii="Times New Roman"/>
          <w:b w:val="false"/>
          <w:i w:val="false"/>
          <w:color w:val="000000"/>
          <w:sz w:val="28"/>
        </w:rPr>
        <w:t>
      В целях недопущения строительства избыточных мощностей и неэффективного расходования бюджетных средств будут выработаны основные критерии и параметры проектов КОС с автоматизацией и цифровизацией технологических процессов, определена оптимальная мощность проектируемых сооружений.</w:t>
      </w:r>
    </w:p>
    <w:bookmarkEnd w:id="266"/>
    <w:bookmarkStart w:name="z986" w:id="267"/>
    <w:p>
      <w:pPr>
        <w:spacing w:after="0"/>
        <w:ind w:left="0"/>
        <w:jc w:val="both"/>
      </w:pPr>
      <w:r>
        <w:rPr>
          <w:rFonts w:ascii="Times New Roman"/>
          <w:b w:val="false"/>
          <w:i w:val="false"/>
          <w:color w:val="000000"/>
          <w:sz w:val="28"/>
        </w:rPr>
        <w:t>
      Для автоматизации и цифровизации технологических процессов тепло-, водоснабжения и водоотведения будет предусматриваться финансирование из средств республиканского и местных бюджетов.</w:t>
      </w:r>
    </w:p>
    <w:bookmarkEnd w:id="267"/>
    <w:bookmarkStart w:name="z987" w:id="268"/>
    <w:p>
      <w:pPr>
        <w:spacing w:after="0"/>
        <w:ind w:left="0"/>
        <w:jc w:val="both"/>
      </w:pPr>
      <w:r>
        <w:rPr>
          <w:rFonts w:ascii="Times New Roman"/>
          <w:b w:val="false"/>
          <w:i w:val="false"/>
          <w:color w:val="000000"/>
          <w:sz w:val="28"/>
        </w:rPr>
        <w:t>
      4. Внедрение новых технологий и цифровизация сектора</w:t>
      </w:r>
    </w:p>
    <w:bookmarkEnd w:id="268"/>
    <w:bookmarkStart w:name="z988" w:id="269"/>
    <w:p>
      <w:pPr>
        <w:spacing w:after="0"/>
        <w:ind w:left="0"/>
        <w:jc w:val="both"/>
      </w:pPr>
      <w:r>
        <w:rPr>
          <w:rFonts w:ascii="Times New Roman"/>
          <w:b w:val="false"/>
          <w:i w:val="false"/>
          <w:color w:val="000000"/>
          <w:sz w:val="28"/>
        </w:rPr>
        <w:t xml:space="preserve">
      В целях трансферта и разработки новых технологий (антикоррозийных, энергоэффективных) в секторе ЖКХ будут активно реализовываться научно-исследовательские работы с совершенствованием научно-технической документации. </w:t>
      </w:r>
    </w:p>
    <w:bookmarkEnd w:id="269"/>
    <w:bookmarkStart w:name="z989" w:id="270"/>
    <w:p>
      <w:pPr>
        <w:spacing w:after="0"/>
        <w:ind w:left="0"/>
        <w:jc w:val="both"/>
      </w:pPr>
      <w:r>
        <w:rPr>
          <w:rFonts w:ascii="Times New Roman"/>
          <w:b w:val="false"/>
          <w:i w:val="false"/>
          <w:color w:val="000000"/>
          <w:sz w:val="28"/>
        </w:rPr>
        <w:t>
      При проектировании будут применяться технологии и прогрессивные технические решения, основанные на современных научно-технических разработках и экспериментальных исследованиях, размещаемые в едином государственном реестре новых технологий в строительстве.</w:t>
      </w:r>
    </w:p>
    <w:bookmarkEnd w:id="270"/>
    <w:bookmarkStart w:name="z990" w:id="271"/>
    <w:p>
      <w:pPr>
        <w:spacing w:after="0"/>
        <w:ind w:left="0"/>
        <w:jc w:val="both"/>
      </w:pPr>
      <w:r>
        <w:rPr>
          <w:rFonts w:ascii="Times New Roman"/>
          <w:b w:val="false"/>
          <w:i w:val="false"/>
          <w:color w:val="000000"/>
          <w:sz w:val="28"/>
        </w:rPr>
        <w:t>
      Для снижения нагрузки на тариф и увеличения инвестиционной привлекательности СЕМ, специализирующихся на очистке сточных вод, будут внедрены технологии выработки электроэнергии биогазовыми станциями, повторного использования очищенных сточных вод на техническое водоснабжение и полив, извлечение дополнительного дохода за счет реализации переработанных иловых отложений (для удобрения, использования в строительстве).</w:t>
      </w:r>
    </w:p>
    <w:bookmarkEnd w:id="271"/>
    <w:bookmarkStart w:name="z991" w:id="272"/>
    <w:p>
      <w:pPr>
        <w:spacing w:after="0"/>
        <w:ind w:left="0"/>
        <w:jc w:val="both"/>
      </w:pPr>
      <w:r>
        <w:rPr>
          <w:rFonts w:ascii="Times New Roman"/>
          <w:b w:val="false"/>
          <w:i w:val="false"/>
          <w:color w:val="000000"/>
          <w:sz w:val="28"/>
        </w:rPr>
        <w:t>
      Обеспечение контроля качества предоставляемых услуг будет осуществляться за счет внедрения контрольно-измерительных оборудований и масштабируемых систем сбора данных и оперативного диспетчерского управления.</w:t>
      </w:r>
    </w:p>
    <w:bookmarkEnd w:id="272"/>
    <w:bookmarkStart w:name="z992" w:id="273"/>
    <w:p>
      <w:pPr>
        <w:spacing w:after="0"/>
        <w:ind w:left="0"/>
        <w:jc w:val="both"/>
      </w:pPr>
      <w:r>
        <w:rPr>
          <w:rFonts w:ascii="Times New Roman"/>
          <w:b w:val="false"/>
          <w:i w:val="false"/>
          <w:color w:val="000000"/>
          <w:sz w:val="28"/>
        </w:rPr>
        <w:t>
      СЕМ будет поэтапно, начиная с 2024 года, внедряется система SСADA/EMS, которая в режиме реального времени обеспечит учет ресурсов, выявит потери и определить потребность в проведении модернизации соответствующей инфраструктуры.</w:t>
      </w:r>
    </w:p>
    <w:bookmarkEnd w:id="273"/>
    <w:bookmarkStart w:name="z993" w:id="274"/>
    <w:p>
      <w:pPr>
        <w:spacing w:after="0"/>
        <w:ind w:left="0"/>
        <w:jc w:val="both"/>
      </w:pPr>
      <w:r>
        <w:rPr>
          <w:rFonts w:ascii="Times New Roman"/>
          <w:b w:val="false"/>
          <w:i w:val="false"/>
          <w:color w:val="000000"/>
          <w:sz w:val="28"/>
        </w:rPr>
        <w:t>
      Будут масштабирован опыт автоматизации ТОО "Водные Ресурсы – Маркетинг" производственных процессов на водоканале города Шымкента.</w:t>
      </w:r>
    </w:p>
    <w:bookmarkEnd w:id="274"/>
    <w:bookmarkStart w:name="z994" w:id="275"/>
    <w:p>
      <w:pPr>
        <w:spacing w:after="0"/>
        <w:ind w:left="0"/>
        <w:jc w:val="both"/>
      </w:pPr>
      <w:r>
        <w:rPr>
          <w:rFonts w:ascii="Times New Roman"/>
          <w:b w:val="false"/>
          <w:i w:val="false"/>
          <w:color w:val="000000"/>
          <w:sz w:val="28"/>
        </w:rPr>
        <w:t>
      Информационные системы СЕМ будут интегрированы с информационной системой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обеспечивающей консолидированную информацию по всей отрасли ЖКХ.</w:t>
      </w:r>
    </w:p>
    <w:bookmarkEnd w:id="275"/>
    <w:bookmarkStart w:name="z995" w:id="276"/>
    <w:p>
      <w:pPr>
        <w:spacing w:after="0"/>
        <w:ind w:left="0"/>
        <w:jc w:val="both"/>
      </w:pPr>
      <w:r>
        <w:rPr>
          <w:rFonts w:ascii="Times New Roman"/>
          <w:b w:val="false"/>
          <w:i w:val="false"/>
          <w:color w:val="000000"/>
          <w:sz w:val="28"/>
        </w:rPr>
        <w:t>
      Информация касательно сведений о жилищном фонде и жителях, о потреблении энергоресурсов, текущем состоянии объектов ЖКХ, инженерных коммуникациях оцифруется и станет доступной для пользователей в электронных ресурсах и информационных системах субъектов отрасли с дальнейшей передачей на платформу ИС централизованного сбора, которая будет передана в доверительное управление Казцентр ЖКХ.</w:t>
      </w:r>
    </w:p>
    <w:bookmarkEnd w:id="276"/>
    <w:bookmarkStart w:name="z996" w:id="277"/>
    <w:p>
      <w:pPr>
        <w:spacing w:after="0"/>
        <w:ind w:left="0"/>
        <w:jc w:val="both"/>
      </w:pPr>
      <w:r>
        <w:rPr>
          <w:rFonts w:ascii="Times New Roman"/>
          <w:b w:val="false"/>
          <w:i w:val="false"/>
          <w:color w:val="000000"/>
          <w:sz w:val="28"/>
        </w:rPr>
        <w:t>
      КазЦентр ЖКХ будет предоставлять СЕМ финансирование для оснащения общедомовыми приборами МЖД отечественного производства за счет возвратных средств, выделенных ранее в рамках финансового лизинга (срок лизинга 48 месяцев, ставка вознаграждения от 4 %) или путем выдачи целевого займа.</w:t>
      </w:r>
    </w:p>
    <w:bookmarkEnd w:id="277"/>
    <w:bookmarkStart w:name="z997" w:id="278"/>
    <w:p>
      <w:pPr>
        <w:spacing w:after="0"/>
        <w:ind w:left="0"/>
        <w:jc w:val="both"/>
      </w:pPr>
      <w:r>
        <w:rPr>
          <w:rFonts w:ascii="Times New Roman"/>
          <w:b w:val="false"/>
          <w:i w:val="false"/>
          <w:color w:val="000000"/>
          <w:sz w:val="28"/>
        </w:rPr>
        <w:t>
      С целью формирования интерактивных карт инженерных сетей, предоставления открытого доступа населения и бизнеса к информации по существующей инфраструктуре будут инвентаризированы инженерные коммуникации застроенных территорий населенных пунктов страны.</w:t>
      </w:r>
    </w:p>
    <w:bookmarkEnd w:id="278"/>
    <w:bookmarkStart w:name="z998" w:id="279"/>
    <w:p>
      <w:pPr>
        <w:spacing w:after="0"/>
        <w:ind w:left="0"/>
        <w:jc w:val="both"/>
      </w:pPr>
      <w:r>
        <w:rPr>
          <w:rFonts w:ascii="Times New Roman"/>
          <w:b w:val="false"/>
          <w:i w:val="false"/>
          <w:color w:val="000000"/>
          <w:sz w:val="28"/>
        </w:rPr>
        <w:t xml:space="preserve">
      Будут концептуально пересмотрены подходы по обеспечению сектора трудовыми ресурсами. </w:t>
      </w:r>
    </w:p>
    <w:bookmarkEnd w:id="279"/>
    <w:bookmarkStart w:name="z999" w:id="280"/>
    <w:p>
      <w:pPr>
        <w:spacing w:after="0"/>
        <w:ind w:left="0"/>
        <w:jc w:val="both"/>
      </w:pPr>
      <w:r>
        <w:rPr>
          <w:rFonts w:ascii="Times New Roman"/>
          <w:b w:val="false"/>
          <w:i w:val="false"/>
          <w:color w:val="000000"/>
          <w:sz w:val="28"/>
        </w:rPr>
        <w:t xml:space="preserve">
      Будет продолжена подготовка и переподготовка кадров для ЖКХ как в высших учебных заведениях, так и в учебных заведениях, реализующих техническое и профессиональное образование, в особенности по специальностям "водоснабжение и канализация", "теплоснабжение", "газоснабжение", "управление коммунальным хозяйством". </w:t>
      </w:r>
    </w:p>
    <w:bookmarkEnd w:id="280"/>
    <w:bookmarkStart w:name="z1000" w:id="281"/>
    <w:p>
      <w:pPr>
        <w:spacing w:after="0"/>
        <w:ind w:left="0"/>
        <w:jc w:val="both"/>
      </w:pPr>
      <w:r>
        <w:rPr>
          <w:rFonts w:ascii="Times New Roman"/>
          <w:b w:val="false"/>
          <w:i w:val="false"/>
          <w:color w:val="000000"/>
          <w:sz w:val="28"/>
        </w:rPr>
        <w:t>
      Будет проработан вопрос включения в перечень праздничных дат для сотрудников отрасли ЖКХ и актуализированы профессиональные стандарты отрасли ЖКХ. Это позволит развить рынок профессиональной подготовки, переподготовки и стажировки в рамках обмена опытом.</w:t>
      </w:r>
    </w:p>
    <w:bookmarkEnd w:id="281"/>
    <w:bookmarkStart w:name="z1001" w:id="282"/>
    <w:p>
      <w:pPr>
        <w:spacing w:after="0"/>
        <w:ind w:left="0"/>
        <w:jc w:val="both"/>
      </w:pPr>
      <w:r>
        <w:rPr>
          <w:rFonts w:ascii="Times New Roman"/>
          <w:b w:val="false"/>
          <w:i w:val="false"/>
          <w:color w:val="000000"/>
          <w:sz w:val="28"/>
        </w:rPr>
        <w:t>
      В целях внедрения передового опыта в вопросах управления отраслью будет повышено количество квот на стажировку за рубежом по программе "Болашак" для действующих сотрудников отрасли ЖКХ, в том числе из обслуживающих организаций (субъекты естественных монополий, поставщики коммунальных услуг, субъекты сервисной деятельности и управляющие компании).</w:t>
      </w:r>
    </w:p>
    <w:bookmarkEnd w:id="282"/>
    <w:bookmarkStart w:name="z1002" w:id="283"/>
    <w:p>
      <w:pPr>
        <w:spacing w:after="0"/>
        <w:ind w:left="0"/>
        <w:jc w:val="both"/>
      </w:pPr>
      <w:r>
        <w:rPr>
          <w:rFonts w:ascii="Times New Roman"/>
          <w:b w:val="false"/>
          <w:i w:val="false"/>
          <w:color w:val="000000"/>
          <w:sz w:val="28"/>
        </w:rPr>
        <w:t>
      Еще одним ключевым элементом привлекательности данных специальностей является вопрос повышения оплаты труда специалистов. На сегодня сотрудники сектора коммунального хозяйства имеют одну из самых низких заработных плат, несмотря на высокие квалификационные требования как технических специалистов. Для этого совместно с заинтересованными уполномоченными органами будет принят план повышения заработных плат сотрудников коммунального хозяйства и сектора сервисных услуг до среднего республиканского уровня.</w:t>
      </w:r>
    </w:p>
    <w:bookmarkEnd w:id="283"/>
    <w:bookmarkStart w:name="z1003" w:id="284"/>
    <w:p>
      <w:pPr>
        <w:spacing w:after="0"/>
        <w:ind w:left="0"/>
        <w:jc w:val="both"/>
      </w:pPr>
      <w:r>
        <w:rPr>
          <w:rFonts w:ascii="Times New Roman"/>
          <w:b w:val="false"/>
          <w:i w:val="false"/>
          <w:color w:val="000000"/>
          <w:sz w:val="28"/>
        </w:rPr>
        <w:t>
      В рамках повышения осведомленности жителей о преимуществах новых технологий систем учета потребления ресурсов будет проводиться информационно разъяснительная работа по энергосбережению и повышению энергоэффективности.</w:t>
      </w:r>
    </w:p>
    <w:bookmarkEnd w:id="284"/>
    <w:bookmarkStart w:name="z1004" w:id="285"/>
    <w:p>
      <w:pPr>
        <w:spacing w:after="0"/>
        <w:ind w:left="0"/>
        <w:jc w:val="both"/>
      </w:pPr>
      <w:r>
        <w:rPr>
          <w:rFonts w:ascii="Times New Roman"/>
          <w:b w:val="false"/>
          <w:i w:val="false"/>
          <w:color w:val="000000"/>
          <w:sz w:val="28"/>
        </w:rPr>
        <w:t>
      Разъяснения о преимуществах установки "умных" приборов учета коммунальных услуг позволят увеличить заинтересованность в приборизации и обеспечить защиту прав потребителей от сверхначислений "оплата по факту оказанных услуг".</w:t>
      </w:r>
    </w:p>
    <w:bookmarkEnd w:id="285"/>
    <w:bookmarkStart w:name="z1005" w:id="286"/>
    <w:p>
      <w:pPr>
        <w:spacing w:after="0"/>
        <w:ind w:left="0"/>
        <w:jc w:val="both"/>
      </w:pPr>
      <w:r>
        <w:rPr>
          <w:rFonts w:ascii="Times New Roman"/>
          <w:b w:val="false"/>
          <w:i w:val="false"/>
          <w:color w:val="000000"/>
          <w:sz w:val="28"/>
        </w:rPr>
        <w:t>
      Вместе с тем открытый доступ к государственному реестру новых технологий в сфере ЖКХ значительно увеличит осведомленность жителей о более эффективным материалах, оборудовании, обеспечивающих экономию при энергопотреблении.</w:t>
      </w:r>
    </w:p>
    <w:bookmarkEnd w:id="286"/>
    <w:bookmarkStart w:name="z1006" w:id="287"/>
    <w:p>
      <w:pPr>
        <w:spacing w:after="0"/>
        <w:ind w:left="0"/>
        <w:jc w:val="left"/>
      </w:pPr>
      <w:r>
        <w:rPr>
          <w:rFonts w:ascii="Times New Roman"/>
          <w:b/>
          <w:i w:val="false"/>
          <w:color w:val="000000"/>
        </w:rPr>
        <w:t xml:space="preserve"> Подход 2. Повышение доступности жилья для широких слоев населения за счет развития жилищной инфраструктуры</w:t>
      </w:r>
    </w:p>
    <w:bookmarkEnd w:id="287"/>
    <w:bookmarkStart w:name="z1007" w:id="288"/>
    <w:p>
      <w:pPr>
        <w:spacing w:after="0"/>
        <w:ind w:left="0"/>
        <w:jc w:val="both"/>
      </w:pPr>
      <w:r>
        <w:rPr>
          <w:rFonts w:ascii="Times New Roman"/>
          <w:b w:val="false"/>
          <w:i w:val="false"/>
          <w:color w:val="000000"/>
          <w:sz w:val="28"/>
        </w:rPr>
        <w:t>
      В целях сбалансированного развития жилищного строительства и обеспечения доступности жилья для широких слоев населения будут предусмотрены следующие меры.</w:t>
      </w:r>
    </w:p>
    <w:bookmarkEnd w:id="288"/>
    <w:bookmarkStart w:name="z1008" w:id="289"/>
    <w:p>
      <w:pPr>
        <w:spacing w:after="0"/>
        <w:ind w:left="0"/>
        <w:jc w:val="left"/>
      </w:pPr>
      <w:r>
        <w:rPr>
          <w:rFonts w:ascii="Times New Roman"/>
          <w:b/>
          <w:i w:val="false"/>
          <w:color w:val="000000"/>
        </w:rPr>
        <w:t xml:space="preserve"> 1. Привлечение частных инвестиций в жилищное строительство</w:t>
      </w:r>
    </w:p>
    <w:bookmarkEnd w:id="289"/>
    <w:bookmarkStart w:name="z1009" w:id="290"/>
    <w:p>
      <w:pPr>
        <w:spacing w:after="0"/>
        <w:ind w:left="0"/>
        <w:jc w:val="both"/>
      </w:pPr>
      <w:r>
        <w:rPr>
          <w:rFonts w:ascii="Times New Roman"/>
          <w:b w:val="false"/>
          <w:i w:val="false"/>
          <w:color w:val="000000"/>
          <w:sz w:val="28"/>
        </w:rPr>
        <w:t>
      1.1. Развитие инженерно-коммуникационной инфраструктуры районов жилищной застройки</w:t>
      </w:r>
    </w:p>
    <w:bookmarkEnd w:id="290"/>
    <w:bookmarkStart w:name="z1010" w:id="291"/>
    <w:p>
      <w:pPr>
        <w:spacing w:after="0"/>
        <w:ind w:left="0"/>
        <w:jc w:val="both"/>
      </w:pPr>
      <w:r>
        <w:rPr>
          <w:rFonts w:ascii="Times New Roman"/>
          <w:b w:val="false"/>
          <w:i w:val="false"/>
          <w:color w:val="000000"/>
          <w:sz w:val="28"/>
        </w:rPr>
        <w:t>
      Рост объемов жилищного строительства в регионах республики влечет за собой необходимость увеличения мощности действующих энергоисточников и строительства новых.</w:t>
      </w:r>
    </w:p>
    <w:bookmarkEnd w:id="291"/>
    <w:bookmarkStart w:name="z1011" w:id="292"/>
    <w:p>
      <w:pPr>
        <w:spacing w:after="0"/>
        <w:ind w:left="0"/>
        <w:jc w:val="both"/>
      </w:pPr>
      <w:r>
        <w:rPr>
          <w:rFonts w:ascii="Times New Roman"/>
          <w:b w:val="false"/>
          <w:i w:val="false"/>
          <w:color w:val="000000"/>
          <w:sz w:val="28"/>
        </w:rPr>
        <w:t>
      Для стимулирования строительства и своевременного ввода объектов социального жилья, в рамках средств республиканского и местных бюджетов, в новых районах жилищной застройки будет финансироваться строительство инженерно-коммуникационной инфраструктуры, включающей системы электроснабжения (в том числе подстанции 10/0,4кВ), теплоснабжения, инженерные сети водо-, газоснабжения (в пределах границ (черты) населенных пунктов), водоотведения (канализации), телефонизации, инженерные сооружения, благоустройство и внутриквартальные проезды.</w:t>
      </w:r>
    </w:p>
    <w:bookmarkEnd w:id="292"/>
    <w:bookmarkStart w:name="z1012" w:id="293"/>
    <w:p>
      <w:pPr>
        <w:spacing w:after="0"/>
        <w:ind w:left="0"/>
        <w:jc w:val="both"/>
      </w:pPr>
      <w:r>
        <w:rPr>
          <w:rFonts w:ascii="Times New Roman"/>
          <w:b w:val="false"/>
          <w:i w:val="false"/>
          <w:color w:val="000000"/>
          <w:sz w:val="28"/>
        </w:rPr>
        <w:t>
      При подведении коммуникаций на основании договора (определяющего порядок и условия реализации жилья и проведения мониторинга) к объектам жилья частного застройщика (за исключением благоустройства) будет реализовываться не менее 50% объема жилья для социального назначения по нормативу, утвержденному уполномоченным органом в области архитектурной, градостроительной и строительной деятельности (далее – уполномоченный орган).</w:t>
      </w:r>
    </w:p>
    <w:bookmarkEnd w:id="293"/>
    <w:bookmarkStart w:name="z1013" w:id="294"/>
    <w:p>
      <w:pPr>
        <w:spacing w:after="0"/>
        <w:ind w:left="0"/>
        <w:jc w:val="both"/>
      </w:pPr>
      <w:r>
        <w:rPr>
          <w:rFonts w:ascii="Times New Roman"/>
          <w:b w:val="false"/>
          <w:i w:val="false"/>
          <w:color w:val="000000"/>
          <w:sz w:val="28"/>
        </w:rPr>
        <w:t xml:space="preserve">
      При реализации частным застройщиком построенного жилья, возмещению подлежит стоимость внутриплощадочных сетей и благоустройства пропорционально приобретаемому жилью, в соответствии с нормативом утвержденным уполномоченным органом. </w:t>
      </w:r>
    </w:p>
    <w:bookmarkEnd w:id="294"/>
    <w:bookmarkStart w:name="z1014" w:id="295"/>
    <w:p>
      <w:pPr>
        <w:spacing w:after="0"/>
        <w:ind w:left="0"/>
        <w:jc w:val="both"/>
      </w:pPr>
      <w:r>
        <w:rPr>
          <w:rFonts w:ascii="Times New Roman"/>
          <w:b w:val="false"/>
          <w:i w:val="false"/>
          <w:color w:val="000000"/>
          <w:sz w:val="28"/>
        </w:rPr>
        <w:t>
      Для мониторинга исполнения частными застройщиками встречных обязательств будет модифицирована информационная система АО "КЖК".</w:t>
      </w:r>
    </w:p>
    <w:bookmarkEnd w:id="295"/>
    <w:bookmarkStart w:name="z1015" w:id="296"/>
    <w:p>
      <w:pPr>
        <w:spacing w:after="0"/>
        <w:ind w:left="0"/>
        <w:jc w:val="both"/>
      </w:pPr>
      <w:r>
        <w:rPr>
          <w:rFonts w:ascii="Times New Roman"/>
          <w:b w:val="false"/>
          <w:i w:val="false"/>
          <w:color w:val="000000"/>
          <w:sz w:val="28"/>
        </w:rPr>
        <w:t>
      С целью стимулирования развития индивидуального жилищного строительства в пределах средств республиканского бюджета земельные участки будут обеспечиваться водопроводными, электрическими, газопроводными сетями.</w:t>
      </w:r>
    </w:p>
    <w:bookmarkEnd w:id="296"/>
    <w:bookmarkStart w:name="z1016" w:id="297"/>
    <w:p>
      <w:pPr>
        <w:spacing w:after="0"/>
        <w:ind w:left="0"/>
        <w:jc w:val="both"/>
      </w:pPr>
      <w:r>
        <w:rPr>
          <w:rFonts w:ascii="Times New Roman"/>
          <w:b w:val="false"/>
          <w:i w:val="false"/>
          <w:color w:val="000000"/>
          <w:sz w:val="28"/>
        </w:rPr>
        <w:t>
      Подведение к таким участкам систем теплоснабжения, сетей телефонизации, водоотведения и канализации, инженерных сооружений, внутриквартальных дорог и проездов будет осуществляться за счет средств местных бюджетов.</w:t>
      </w:r>
    </w:p>
    <w:bookmarkEnd w:id="297"/>
    <w:bookmarkStart w:name="z1017" w:id="298"/>
    <w:p>
      <w:pPr>
        <w:spacing w:after="0"/>
        <w:ind w:left="0"/>
        <w:jc w:val="both"/>
      </w:pPr>
      <w:r>
        <w:rPr>
          <w:rFonts w:ascii="Times New Roman"/>
          <w:b w:val="false"/>
          <w:i w:val="false"/>
          <w:color w:val="000000"/>
          <w:sz w:val="28"/>
        </w:rPr>
        <w:t>
      МИО будут предусматривать строительство индивидуальных жилых домов для категории граждан, определенных жилищным и земельным законодательством.</w:t>
      </w:r>
    </w:p>
    <w:bookmarkEnd w:id="298"/>
    <w:bookmarkStart w:name="z1018" w:id="299"/>
    <w:p>
      <w:pPr>
        <w:spacing w:after="0"/>
        <w:ind w:left="0"/>
        <w:jc w:val="both"/>
      </w:pPr>
      <w:r>
        <w:rPr>
          <w:rFonts w:ascii="Times New Roman"/>
          <w:b w:val="false"/>
          <w:i w:val="false"/>
          <w:color w:val="000000"/>
          <w:sz w:val="28"/>
        </w:rPr>
        <w:t>
      Будет обеспечиваться 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дома в установленный срок.</w:t>
      </w:r>
    </w:p>
    <w:bookmarkEnd w:id="299"/>
    <w:bookmarkStart w:name="z1019" w:id="300"/>
    <w:p>
      <w:pPr>
        <w:spacing w:after="0"/>
        <w:ind w:left="0"/>
        <w:jc w:val="both"/>
      </w:pPr>
      <w:r>
        <w:rPr>
          <w:rFonts w:ascii="Times New Roman"/>
          <w:b w:val="false"/>
          <w:i w:val="false"/>
          <w:color w:val="000000"/>
          <w:sz w:val="28"/>
        </w:rPr>
        <w:t>
      Будут созданы условия для запуска массового строительства индивидуальных жилых домов индустриальным способом, развития модульного строительства, включая деревянное домостроение, стимулирование производства и применение домокомплектов.</w:t>
      </w:r>
    </w:p>
    <w:bookmarkEnd w:id="300"/>
    <w:bookmarkStart w:name="z1020" w:id="301"/>
    <w:p>
      <w:pPr>
        <w:spacing w:after="0"/>
        <w:ind w:left="0"/>
        <w:jc w:val="both"/>
      </w:pPr>
      <w:r>
        <w:rPr>
          <w:rFonts w:ascii="Times New Roman"/>
          <w:b w:val="false"/>
          <w:i w:val="false"/>
          <w:color w:val="000000"/>
          <w:sz w:val="28"/>
        </w:rPr>
        <w:t>
      1.2. Инструменты субсидирования и проектного финансирования</w:t>
      </w:r>
    </w:p>
    <w:bookmarkEnd w:id="301"/>
    <w:bookmarkStart w:name="z1021" w:id="302"/>
    <w:p>
      <w:pPr>
        <w:spacing w:after="0"/>
        <w:ind w:left="0"/>
        <w:jc w:val="both"/>
      </w:pPr>
      <w:r>
        <w:rPr>
          <w:rFonts w:ascii="Times New Roman"/>
          <w:b w:val="false"/>
          <w:i w:val="false"/>
          <w:color w:val="000000"/>
          <w:sz w:val="28"/>
        </w:rPr>
        <w:t>
      Для снижения оттока населения из сельской местности будут возмещаться государством затраты работодателей, построивших арендные дома для своих работников.</w:t>
      </w:r>
    </w:p>
    <w:bookmarkEnd w:id="302"/>
    <w:bookmarkStart w:name="z1022" w:id="303"/>
    <w:p>
      <w:pPr>
        <w:spacing w:after="0"/>
        <w:ind w:left="0"/>
        <w:jc w:val="both"/>
      </w:pPr>
      <w:r>
        <w:rPr>
          <w:rFonts w:ascii="Times New Roman"/>
          <w:b w:val="false"/>
          <w:i w:val="false"/>
          <w:color w:val="000000"/>
          <w:sz w:val="28"/>
        </w:rPr>
        <w:t>
      Субсидии будут выделяться из средств республиканского и местных бюджетов согласно требований бюджетного законодательства при наличии подтверждающих документов о вводе построенного жилого дома в эксплуатацию.</w:t>
      </w:r>
    </w:p>
    <w:bookmarkEnd w:id="303"/>
    <w:bookmarkStart w:name="z1023" w:id="304"/>
    <w:p>
      <w:pPr>
        <w:spacing w:after="0"/>
        <w:ind w:left="0"/>
        <w:jc w:val="both"/>
      </w:pPr>
      <w:r>
        <w:rPr>
          <w:rFonts w:ascii="Times New Roman"/>
          <w:b w:val="false"/>
          <w:i w:val="false"/>
          <w:color w:val="000000"/>
          <w:sz w:val="28"/>
        </w:rPr>
        <w:t xml:space="preserve">
      Жилища будут предоставляться работникам, с которыми заключены трудовые договора на 5 летний срок. По истечении данного срока работодатель будет вправе реализовать жилище работнику без учета суммы выплаченной субсидии из республиканского или местного бюджета. </w:t>
      </w:r>
    </w:p>
    <w:bookmarkEnd w:id="304"/>
    <w:bookmarkStart w:name="z1024" w:id="305"/>
    <w:p>
      <w:pPr>
        <w:spacing w:after="0"/>
        <w:ind w:left="0"/>
        <w:jc w:val="both"/>
      </w:pPr>
      <w:r>
        <w:rPr>
          <w:rFonts w:ascii="Times New Roman"/>
          <w:b w:val="false"/>
          <w:i w:val="false"/>
          <w:color w:val="000000"/>
          <w:sz w:val="28"/>
        </w:rPr>
        <w:t>
      Перечень сельских населенных пунктов, в которых работодатели планируют строительство жилья будет определяться местными представительными органами на основании предложений МИО.</w:t>
      </w:r>
    </w:p>
    <w:bookmarkEnd w:id="305"/>
    <w:bookmarkStart w:name="z1025" w:id="306"/>
    <w:p>
      <w:pPr>
        <w:spacing w:after="0"/>
        <w:ind w:left="0"/>
        <w:jc w:val="both"/>
      </w:pPr>
      <w:r>
        <w:rPr>
          <w:rFonts w:ascii="Times New Roman"/>
          <w:b w:val="false"/>
          <w:i w:val="false"/>
          <w:color w:val="000000"/>
          <w:sz w:val="28"/>
        </w:rPr>
        <w:t xml:space="preserve">
      Для реализации данного механизма будут приняты правила субсидирования затрат работодателей, построивших в сельском населенном пункте жилища для своих работников. </w:t>
      </w:r>
    </w:p>
    <w:bookmarkEnd w:id="306"/>
    <w:bookmarkStart w:name="z1026" w:id="307"/>
    <w:p>
      <w:pPr>
        <w:spacing w:after="0"/>
        <w:ind w:left="0"/>
        <w:jc w:val="both"/>
      </w:pPr>
      <w:r>
        <w:rPr>
          <w:rFonts w:ascii="Times New Roman"/>
          <w:b w:val="false"/>
          <w:i w:val="false"/>
          <w:color w:val="000000"/>
          <w:sz w:val="28"/>
        </w:rPr>
        <w:t>
      С целью снижения затрат застройщиков будет продолжен через АО "КЖК" механизм субсидирования части ставки вознаграждения по кредитам, полученным на строительство жилья, с соблюдением встречных требований по реализации части не менее 50 % объема жилья для социального назначения от полученных кредитных средств по нормативу, утвержденному уполномоченным органом.</w:t>
      </w:r>
    </w:p>
    <w:bookmarkEnd w:id="307"/>
    <w:bookmarkStart w:name="z1027" w:id="308"/>
    <w:p>
      <w:pPr>
        <w:spacing w:after="0"/>
        <w:ind w:left="0"/>
        <w:jc w:val="both"/>
      </w:pPr>
      <w:r>
        <w:rPr>
          <w:rFonts w:ascii="Times New Roman"/>
          <w:b w:val="false"/>
          <w:i w:val="false"/>
          <w:color w:val="000000"/>
          <w:sz w:val="28"/>
        </w:rPr>
        <w:t>
      АО "КЖК" будет реализовано проектное финансирование инвестиционных проектов с частными застройщиками на принципах платности, срочности и возвратности с привлечением средств на внутреннем и международных рынках капитала на рыночных условиях, а также с ценовыми параметрами строительства и реализации, обеспечивающими рентабельность и возвратность средств.</w:t>
      </w:r>
    </w:p>
    <w:bookmarkEnd w:id="308"/>
    <w:bookmarkStart w:name="z1028" w:id="309"/>
    <w:p>
      <w:pPr>
        <w:spacing w:after="0"/>
        <w:ind w:left="0"/>
        <w:jc w:val="both"/>
      </w:pPr>
      <w:r>
        <w:rPr>
          <w:rFonts w:ascii="Times New Roman"/>
          <w:b w:val="false"/>
          <w:i w:val="false"/>
          <w:color w:val="000000"/>
          <w:sz w:val="28"/>
        </w:rPr>
        <w:t>
      Будут проработаны вопросы партнерства с частными застройщиками по принципу ГЧП в целях финансирования строительства жилья в рамках комплексной застройки территорий. Порядок и условия реализации проектов будут определяться АО "КЖК" исходя из рентабельности проектов и возвратности средств.</w:t>
      </w:r>
    </w:p>
    <w:bookmarkEnd w:id="309"/>
    <w:bookmarkStart w:name="z1029" w:id="310"/>
    <w:p>
      <w:pPr>
        <w:spacing w:after="0"/>
        <w:ind w:left="0"/>
        <w:jc w:val="both"/>
      </w:pPr>
      <w:r>
        <w:rPr>
          <w:rFonts w:ascii="Times New Roman"/>
          <w:b w:val="false"/>
          <w:i w:val="false"/>
          <w:color w:val="000000"/>
          <w:sz w:val="28"/>
        </w:rPr>
        <w:t xml:space="preserve">
      1.3. Развитие рынка арендного жилья </w:t>
      </w:r>
    </w:p>
    <w:bookmarkEnd w:id="310"/>
    <w:bookmarkStart w:name="z1030" w:id="311"/>
    <w:p>
      <w:pPr>
        <w:spacing w:after="0"/>
        <w:ind w:left="0"/>
        <w:jc w:val="both"/>
      </w:pPr>
      <w:r>
        <w:rPr>
          <w:rFonts w:ascii="Times New Roman"/>
          <w:b w:val="false"/>
          <w:i w:val="false"/>
          <w:color w:val="000000"/>
          <w:sz w:val="28"/>
        </w:rPr>
        <w:t>
      В целях развития рынка частного арендного жилья с учетом международного опыта будут созданы институциональные условия для деятельности инвестиционных фондов недвижимости (REIT).</w:t>
      </w:r>
    </w:p>
    <w:bookmarkEnd w:id="311"/>
    <w:bookmarkStart w:name="z1031" w:id="312"/>
    <w:p>
      <w:pPr>
        <w:spacing w:after="0"/>
        <w:ind w:left="0"/>
        <w:jc w:val="both"/>
      </w:pPr>
      <w:r>
        <w:rPr>
          <w:rFonts w:ascii="Times New Roman"/>
          <w:b w:val="false"/>
          <w:i w:val="false"/>
          <w:color w:val="000000"/>
          <w:sz w:val="28"/>
        </w:rPr>
        <w:t>
      REIT будет формировать доходы за счет предоставления в аренду жилой и коммерческой недвижимости и роста стоимости недвижимости с распределением среди акционеров (субъектов квазигосударственного сектора, организаций с государственным участием, институциональных инвесторов, институтов развития).</w:t>
      </w:r>
    </w:p>
    <w:bookmarkEnd w:id="312"/>
    <w:bookmarkStart w:name="z1032" w:id="313"/>
    <w:p>
      <w:pPr>
        <w:spacing w:after="0"/>
        <w:ind w:left="0"/>
        <w:jc w:val="both"/>
      </w:pPr>
      <w:r>
        <w:rPr>
          <w:rFonts w:ascii="Times New Roman"/>
          <w:b w:val="false"/>
          <w:i w:val="false"/>
          <w:color w:val="000000"/>
          <w:sz w:val="28"/>
        </w:rPr>
        <w:t>
      АО "КЖК" будет продолжена реализация проектов арендного жилья по соответствующим меморандумам (соглашениям) с государственными и негосударственными юридическими лицами.</w:t>
      </w:r>
    </w:p>
    <w:bookmarkEnd w:id="313"/>
    <w:bookmarkStart w:name="z1033" w:id="314"/>
    <w:p>
      <w:pPr>
        <w:spacing w:after="0"/>
        <w:ind w:left="0"/>
        <w:jc w:val="both"/>
      </w:pPr>
      <w:r>
        <w:rPr>
          <w:rFonts w:ascii="Times New Roman"/>
          <w:b w:val="false"/>
          <w:i w:val="false"/>
          <w:color w:val="000000"/>
          <w:sz w:val="28"/>
        </w:rPr>
        <w:t>
      Будет рассмотрена возможность реализации проектов арендного жилья с правом (без права) выкупа за счет объектов, находящихся на балансе местных исполнительных органах, для решения жилищных вопросов граждан, определенных жилищных законодательством.</w:t>
      </w:r>
    </w:p>
    <w:bookmarkEnd w:id="314"/>
    <w:bookmarkStart w:name="z1034" w:id="315"/>
    <w:p>
      <w:pPr>
        <w:spacing w:after="0"/>
        <w:ind w:left="0"/>
        <w:jc w:val="both"/>
      </w:pPr>
      <w:r>
        <w:rPr>
          <w:rFonts w:ascii="Times New Roman"/>
          <w:b w:val="false"/>
          <w:i w:val="false"/>
          <w:color w:val="000000"/>
          <w:sz w:val="28"/>
        </w:rPr>
        <w:t>
      1.4. Обеспечение строительными материалами и внедрение новых технологий для повышения прочности, и надежности жилых зданий.</w:t>
      </w:r>
    </w:p>
    <w:bookmarkEnd w:id="315"/>
    <w:bookmarkStart w:name="z1035" w:id="316"/>
    <w:p>
      <w:pPr>
        <w:spacing w:after="0"/>
        <w:ind w:left="0"/>
        <w:jc w:val="both"/>
      </w:pPr>
      <w:r>
        <w:rPr>
          <w:rFonts w:ascii="Times New Roman"/>
          <w:b w:val="false"/>
          <w:i w:val="false"/>
          <w:color w:val="000000"/>
          <w:sz w:val="28"/>
        </w:rPr>
        <w:t>
      До конца 2025 года планируется реализация 162 проектов по развитию строительной индустрии.</w:t>
      </w:r>
    </w:p>
    <w:bookmarkEnd w:id="316"/>
    <w:bookmarkStart w:name="z1036" w:id="317"/>
    <w:p>
      <w:pPr>
        <w:spacing w:after="0"/>
        <w:ind w:left="0"/>
        <w:jc w:val="both"/>
      </w:pPr>
      <w:r>
        <w:rPr>
          <w:rFonts w:ascii="Times New Roman"/>
          <w:b w:val="false"/>
          <w:i w:val="false"/>
          <w:color w:val="000000"/>
          <w:sz w:val="28"/>
        </w:rPr>
        <w:t>
      Будет создан полноценный кластер лифтовой отрасли, состоящий из научно-исследовательского и испытательного центров, обучающего центра и высокотехнологичного производства лифтов.</w:t>
      </w:r>
    </w:p>
    <w:bookmarkEnd w:id="317"/>
    <w:bookmarkStart w:name="z1037" w:id="318"/>
    <w:p>
      <w:pPr>
        <w:spacing w:after="0"/>
        <w:ind w:left="0"/>
        <w:jc w:val="both"/>
      </w:pPr>
      <w:r>
        <w:rPr>
          <w:rFonts w:ascii="Times New Roman"/>
          <w:b w:val="false"/>
          <w:i w:val="false"/>
          <w:color w:val="000000"/>
          <w:sz w:val="28"/>
        </w:rPr>
        <w:t>
      Для обеспечения загрузки действующих домостроительных комбинатов (далее – ДСК) разработана Дорожная карта на 2021 – 2025 годы с последующей актуализацией необходимых мер.</w:t>
      </w:r>
    </w:p>
    <w:bookmarkEnd w:id="318"/>
    <w:bookmarkStart w:name="z1038" w:id="319"/>
    <w:p>
      <w:pPr>
        <w:spacing w:after="0"/>
        <w:ind w:left="0"/>
        <w:jc w:val="both"/>
      </w:pPr>
      <w:r>
        <w:rPr>
          <w:rFonts w:ascii="Times New Roman"/>
          <w:b w:val="false"/>
          <w:i w:val="false"/>
          <w:color w:val="000000"/>
          <w:sz w:val="28"/>
        </w:rPr>
        <w:t xml:space="preserve">
      Предусматривается рассмотреть меры по снижению железнодорожных тарифов за логистику для производителей ДСК. </w:t>
      </w:r>
    </w:p>
    <w:bookmarkEnd w:id="319"/>
    <w:bookmarkStart w:name="z1039" w:id="320"/>
    <w:p>
      <w:pPr>
        <w:spacing w:after="0"/>
        <w:ind w:left="0"/>
        <w:jc w:val="both"/>
      </w:pPr>
      <w:r>
        <w:rPr>
          <w:rFonts w:ascii="Times New Roman"/>
          <w:b w:val="false"/>
          <w:i w:val="false"/>
          <w:color w:val="000000"/>
          <w:sz w:val="28"/>
        </w:rPr>
        <w:t>
      На базе АО "КЖК" будет продолжена дальнейшая работа по продвижению онлайн - платформы строительных материалов (www.material.kz), которая позволяет казахстанским производителям строительных материалов создавать собственную витрину стройматериалов с ценами для строительных компаний.</w:t>
      </w:r>
    </w:p>
    <w:bookmarkEnd w:id="320"/>
    <w:bookmarkStart w:name="z1040" w:id="321"/>
    <w:p>
      <w:pPr>
        <w:spacing w:after="0"/>
        <w:ind w:left="0"/>
        <w:jc w:val="both"/>
      </w:pPr>
      <w:r>
        <w:rPr>
          <w:rFonts w:ascii="Times New Roman"/>
          <w:b w:val="false"/>
          <w:i w:val="false"/>
          <w:color w:val="000000"/>
          <w:sz w:val="28"/>
        </w:rPr>
        <w:t>
      В свою очередь, строительные компании получают прямой доступ к казахстанским стройматериалам без затрат на поиск производителей.</w:t>
      </w:r>
    </w:p>
    <w:bookmarkEnd w:id="321"/>
    <w:bookmarkStart w:name="z1041" w:id="322"/>
    <w:p>
      <w:pPr>
        <w:spacing w:after="0"/>
        <w:ind w:left="0"/>
        <w:jc w:val="both"/>
      </w:pPr>
      <w:r>
        <w:rPr>
          <w:rFonts w:ascii="Times New Roman"/>
          <w:b w:val="false"/>
          <w:i w:val="false"/>
          <w:color w:val="000000"/>
          <w:sz w:val="28"/>
        </w:rPr>
        <w:t>
      В целом успешная реализация проектов по производству керамической плитки, сэндвич панелей, теплоизоляционного материала, напольного покрытия (ламинат), сухих строительных смесей, стеновых материалов (газоблоки, пескоблоки), кирпичей (силикатный, керамический), мраморной муки, железобетонных изделий, фиброцементных плит, фасадных материалов, профилей, стеновых панелей, керамзитов, катанки и арматуры обеспечит повышение внутристрановой ценности с 64 % до 80 %, что позитивно скажется на снижении доли импорта строительных материалов в среднем на 15 %.</w:t>
      </w:r>
    </w:p>
    <w:bookmarkEnd w:id="322"/>
    <w:bookmarkStart w:name="z1042" w:id="323"/>
    <w:p>
      <w:pPr>
        <w:spacing w:after="0"/>
        <w:ind w:left="0"/>
        <w:jc w:val="both"/>
      </w:pPr>
      <w:r>
        <w:rPr>
          <w:rFonts w:ascii="Times New Roman"/>
          <w:b w:val="false"/>
          <w:i w:val="false"/>
          <w:color w:val="000000"/>
          <w:sz w:val="28"/>
        </w:rPr>
        <w:t>
      На постоянной основе совершенствуется нормативное регулирование по обязательному применению материалов, оборудования и изделий строительной продукции казахстанского производства.</w:t>
      </w:r>
    </w:p>
    <w:bookmarkEnd w:id="323"/>
    <w:bookmarkStart w:name="z1043" w:id="324"/>
    <w:p>
      <w:pPr>
        <w:spacing w:after="0"/>
        <w:ind w:left="0"/>
        <w:jc w:val="both"/>
      </w:pPr>
      <w:r>
        <w:rPr>
          <w:rFonts w:ascii="Times New Roman"/>
          <w:b w:val="false"/>
          <w:i w:val="false"/>
          <w:color w:val="000000"/>
          <w:sz w:val="28"/>
        </w:rPr>
        <w:t>
      Ведется дальнейшая работа по обязательному применению BIM-технологии (ТИМСО), которая позволяет снизить материалоемкость проекта за счет применения энергосберегающих технологий, строительных материалов и конструкций. Это косвенным эффектом обеспечит значительное снижение эксплуатационных расходов жильцов на содержание жилого дома.</w:t>
      </w:r>
    </w:p>
    <w:bookmarkEnd w:id="324"/>
    <w:bookmarkStart w:name="z1044" w:id="325"/>
    <w:p>
      <w:pPr>
        <w:spacing w:after="0"/>
        <w:ind w:left="0"/>
        <w:jc w:val="both"/>
      </w:pPr>
      <w:r>
        <w:rPr>
          <w:rFonts w:ascii="Times New Roman"/>
          <w:b w:val="false"/>
          <w:i w:val="false"/>
          <w:color w:val="000000"/>
          <w:sz w:val="28"/>
        </w:rPr>
        <w:t>
      В целях обеспечения массового внедрения на законодательной основе будут определены критерии применения технологии информационного моделирования строительных объектов (ТИМСО) при проектировании.</w:t>
      </w:r>
    </w:p>
    <w:bookmarkEnd w:id="325"/>
    <w:bookmarkStart w:name="z1045" w:id="326"/>
    <w:p>
      <w:pPr>
        <w:spacing w:after="0"/>
        <w:ind w:left="0"/>
        <w:jc w:val="both"/>
      </w:pPr>
      <w:r>
        <w:rPr>
          <w:rFonts w:ascii="Times New Roman"/>
          <w:b w:val="false"/>
          <w:i w:val="false"/>
          <w:color w:val="000000"/>
          <w:sz w:val="28"/>
        </w:rPr>
        <w:t>
      В соответствии с требованиями нормативно-технического документа классификация зданий по уровню комфорта предусматривает градацию классов по размеру площади квартиры и жилой площади на 1 человека, высоте жилых помещений от пола до потолка, количеству жилых комнат, минимальной площади кухонных помещений, количеству и расположению ванных комнат и санузлов, наличию парковочных мест на одну квартиру, обеспечению системами безопасности и прочим показателям.</w:t>
      </w:r>
    </w:p>
    <w:bookmarkEnd w:id="326"/>
    <w:bookmarkStart w:name="z1046" w:id="327"/>
    <w:p>
      <w:pPr>
        <w:spacing w:after="0"/>
        <w:ind w:left="0"/>
        <w:jc w:val="both"/>
      </w:pPr>
      <w:r>
        <w:rPr>
          <w:rFonts w:ascii="Times New Roman"/>
          <w:b w:val="false"/>
          <w:i w:val="false"/>
          <w:color w:val="000000"/>
          <w:sz w:val="28"/>
        </w:rPr>
        <w:t>
      Для полноценной прозрачности процесса строительных работ и повышения качества строительства будет продолжена дальнейшая интеграция "Е-QURYLYS" с необходимыми информационными системами.</w:t>
      </w:r>
    </w:p>
    <w:bookmarkEnd w:id="327"/>
    <w:bookmarkStart w:name="z1047" w:id="328"/>
    <w:p>
      <w:pPr>
        <w:spacing w:after="0"/>
        <w:ind w:left="0"/>
        <w:jc w:val="both"/>
      </w:pPr>
      <w:r>
        <w:rPr>
          <w:rFonts w:ascii="Times New Roman"/>
          <w:b w:val="false"/>
          <w:i w:val="false"/>
          <w:color w:val="000000"/>
          <w:sz w:val="28"/>
        </w:rPr>
        <w:t>
      Для ускоренной реализации проектов и принятия проектных решений будет осуществляться наполнение государственного банка проектов строительства, совершенствоваться методы калькулирования смет с применением укрупненных норм по видам работ и конструктивам.</w:t>
      </w:r>
    </w:p>
    <w:bookmarkEnd w:id="328"/>
    <w:bookmarkStart w:name="z1048" w:id="329"/>
    <w:p>
      <w:pPr>
        <w:spacing w:after="0"/>
        <w:ind w:left="0"/>
        <w:jc w:val="both"/>
      </w:pPr>
      <w:r>
        <w:rPr>
          <w:rFonts w:ascii="Times New Roman"/>
          <w:b w:val="false"/>
          <w:i w:val="false"/>
          <w:color w:val="000000"/>
          <w:sz w:val="28"/>
        </w:rPr>
        <w:t>
      Будет разработан и принят градостроительный кодекс, который определит регуляторные приоритеты, цели устойчивого развития отрасли, механизмы ценообразования, решит системные отраслевые проблемы, соотносимость с международными стандартами, сократит ряд подзаконных актов.</w:t>
      </w:r>
    </w:p>
    <w:bookmarkEnd w:id="329"/>
    <w:bookmarkStart w:name="z1049" w:id="330"/>
    <w:p>
      <w:pPr>
        <w:spacing w:after="0"/>
        <w:ind w:left="0"/>
        <w:jc w:val="both"/>
      </w:pPr>
      <w:r>
        <w:rPr>
          <w:rFonts w:ascii="Times New Roman"/>
          <w:b w:val="false"/>
          <w:i w:val="false"/>
          <w:color w:val="000000"/>
          <w:sz w:val="28"/>
        </w:rPr>
        <w:t>
      Для обеспечения системной и скоординированной работы в строительстве будет предусмотрено создание единого центра градостроительного планирования, нормирования и экспертизы на базе РГП "Госградкадастр", РГП "Госэкспертиза", АО "КазНИИСА".</w:t>
      </w:r>
    </w:p>
    <w:bookmarkEnd w:id="330"/>
    <w:bookmarkStart w:name="z1050" w:id="331"/>
    <w:p>
      <w:pPr>
        <w:spacing w:after="0"/>
        <w:ind w:left="0"/>
        <w:jc w:val="both"/>
      </w:pPr>
      <w:r>
        <w:rPr>
          <w:rFonts w:ascii="Times New Roman"/>
          <w:b w:val="false"/>
          <w:i w:val="false"/>
          <w:color w:val="000000"/>
          <w:sz w:val="28"/>
        </w:rPr>
        <w:t>
      В целях мониторинга доступности жилья и оценки эффективности мер АО "КЖК" будут проводиться аналитические исследования с визуализацией результатов в информационной системе.</w:t>
      </w:r>
    </w:p>
    <w:bookmarkEnd w:id="331"/>
    <w:bookmarkStart w:name="z1051" w:id="332"/>
    <w:p>
      <w:pPr>
        <w:spacing w:after="0"/>
        <w:ind w:left="0"/>
        <w:jc w:val="left"/>
      </w:pPr>
      <w:r>
        <w:rPr>
          <w:rFonts w:ascii="Times New Roman"/>
          <w:b/>
          <w:i w:val="false"/>
          <w:color w:val="000000"/>
        </w:rPr>
        <w:t xml:space="preserve"> 2. Обеспечение жильем категорий граждан, определенных жилищным законодательством </w:t>
      </w:r>
    </w:p>
    <w:bookmarkEnd w:id="332"/>
    <w:bookmarkStart w:name="z1052" w:id="333"/>
    <w:p>
      <w:pPr>
        <w:spacing w:after="0"/>
        <w:ind w:left="0"/>
        <w:jc w:val="both"/>
      </w:pPr>
      <w:r>
        <w:rPr>
          <w:rFonts w:ascii="Times New Roman"/>
          <w:b w:val="false"/>
          <w:i w:val="false"/>
          <w:color w:val="000000"/>
          <w:sz w:val="28"/>
        </w:rPr>
        <w:t xml:space="preserve">
      Реализуемые меры обеспечения граждан, состоящих на учете нуждающихся в жилье (далее – очередники)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РК "О жилищных отношениях" (далее –Закон), не оказывают существенного влияния на снижение очередности ввиду несоответствия статусов поставленных на учет граждан установленным критериям.</w:t>
      </w:r>
    </w:p>
    <w:bookmarkEnd w:id="333"/>
    <w:bookmarkStart w:name="z1053" w:id="334"/>
    <w:p>
      <w:pPr>
        <w:spacing w:after="0"/>
        <w:ind w:left="0"/>
        <w:jc w:val="both"/>
      </w:pPr>
      <w:r>
        <w:rPr>
          <w:rFonts w:ascii="Times New Roman"/>
          <w:b w:val="false"/>
          <w:i w:val="false"/>
          <w:color w:val="000000"/>
          <w:sz w:val="28"/>
        </w:rPr>
        <w:t>
      Первоочередной задачей МИО будет проведение инвентаризации списочной численности с целью приведения в соответствие с действующим законодательством Республики Казахстан.</w:t>
      </w:r>
    </w:p>
    <w:bookmarkEnd w:id="334"/>
    <w:bookmarkStart w:name="z1054" w:id="335"/>
    <w:p>
      <w:pPr>
        <w:spacing w:after="0"/>
        <w:ind w:left="0"/>
        <w:jc w:val="both"/>
      </w:pPr>
      <w:r>
        <w:rPr>
          <w:rFonts w:ascii="Times New Roman"/>
          <w:b w:val="false"/>
          <w:i w:val="false"/>
          <w:color w:val="000000"/>
          <w:sz w:val="28"/>
        </w:rPr>
        <w:t>
      В целом будет реформировано жилищное законодательство с обеспечением новых подходов, в том числе рассмотрено преобразование АО "Отбасы банк" в национальный институт развития и поддержки с наделением прав по постановке и учету нуждающихся в жилье.</w:t>
      </w:r>
    </w:p>
    <w:bookmarkEnd w:id="335"/>
    <w:bookmarkStart w:name="z1055" w:id="336"/>
    <w:p>
      <w:pPr>
        <w:spacing w:after="0"/>
        <w:ind w:left="0"/>
        <w:jc w:val="both"/>
      </w:pPr>
      <w:r>
        <w:rPr>
          <w:rFonts w:ascii="Times New Roman"/>
          <w:b w:val="false"/>
          <w:i w:val="false"/>
          <w:color w:val="000000"/>
          <w:sz w:val="28"/>
        </w:rPr>
        <w:t>
      Оказание мер государственной поддержки будет осуществляться с учетом совокупных семейных доходов и критериев нуждаемости в жилье, определенных жилищным законодательством.</w:t>
      </w:r>
    </w:p>
    <w:bookmarkEnd w:id="336"/>
    <w:bookmarkStart w:name="z1056" w:id="337"/>
    <w:p>
      <w:pPr>
        <w:spacing w:after="0"/>
        <w:ind w:left="0"/>
        <w:jc w:val="both"/>
      </w:pPr>
      <w:r>
        <w:rPr>
          <w:rFonts w:ascii="Times New Roman"/>
          <w:b w:val="false"/>
          <w:i w:val="false"/>
          <w:color w:val="000000"/>
          <w:sz w:val="28"/>
        </w:rPr>
        <w:t>
      При этом важным ориентиром в реализации мер государственной поддержки станут данные цифрового портрета семьи и ожидаемая налоговая реформа по декларированию доходов.</w:t>
      </w:r>
    </w:p>
    <w:bookmarkEnd w:id="337"/>
    <w:bookmarkStart w:name="z1057" w:id="338"/>
    <w:p>
      <w:pPr>
        <w:spacing w:after="0"/>
        <w:ind w:left="0"/>
        <w:jc w:val="both"/>
      </w:pPr>
      <w:r>
        <w:rPr>
          <w:rFonts w:ascii="Times New Roman"/>
          <w:b w:val="false"/>
          <w:i w:val="false"/>
          <w:color w:val="000000"/>
          <w:sz w:val="28"/>
        </w:rPr>
        <w:t>
      Мерами государственной поддержки по решению жилищных вопросов очередников будет предусматриваться:</w:t>
      </w:r>
    </w:p>
    <w:bookmarkEnd w:id="338"/>
    <w:bookmarkStart w:name="z1058" w:id="339"/>
    <w:p>
      <w:pPr>
        <w:spacing w:after="0"/>
        <w:ind w:left="0"/>
        <w:jc w:val="both"/>
      </w:pPr>
      <w:r>
        <w:rPr>
          <w:rFonts w:ascii="Times New Roman"/>
          <w:b w:val="false"/>
          <w:i w:val="false"/>
          <w:color w:val="000000"/>
          <w:sz w:val="28"/>
        </w:rPr>
        <w:t>
      1. Субсидирование арендной платы в частном жилищном фонде для очередников, имеющих совокупный семейный доход ниже 1-ого прожиточного минимума на члена семьи.</w:t>
      </w:r>
    </w:p>
    <w:bookmarkEnd w:id="339"/>
    <w:bookmarkStart w:name="z1059" w:id="340"/>
    <w:p>
      <w:pPr>
        <w:spacing w:after="0"/>
        <w:ind w:left="0"/>
        <w:jc w:val="both"/>
      </w:pPr>
      <w:r>
        <w:rPr>
          <w:rFonts w:ascii="Times New Roman"/>
          <w:b w:val="false"/>
          <w:i w:val="false"/>
          <w:color w:val="000000"/>
          <w:sz w:val="28"/>
        </w:rPr>
        <w:t>
      Субсидии на аренду жилья в частном жилищном фонде предоставляются через АО "Отбасы банк" в пределах средств, предусматриваемых законом о республиканском бюджете и решениями местных представительных органов на соответствующий финансовый год, в порядке, определяемом уполномоченным органом.</w:t>
      </w:r>
    </w:p>
    <w:bookmarkEnd w:id="340"/>
    <w:bookmarkStart w:name="z1060" w:id="341"/>
    <w:p>
      <w:pPr>
        <w:spacing w:after="0"/>
        <w:ind w:left="0"/>
        <w:jc w:val="both"/>
      </w:pPr>
      <w:r>
        <w:rPr>
          <w:rFonts w:ascii="Times New Roman"/>
          <w:b w:val="false"/>
          <w:i w:val="false"/>
          <w:color w:val="000000"/>
          <w:sz w:val="28"/>
        </w:rPr>
        <w:t>
      Арендовать жилье возможно у физических или юридических лиц, обладающих правами собственности на недвижимое имущество.</w:t>
      </w:r>
    </w:p>
    <w:bookmarkEnd w:id="341"/>
    <w:bookmarkStart w:name="z1061" w:id="342"/>
    <w:p>
      <w:pPr>
        <w:spacing w:after="0"/>
        <w:ind w:left="0"/>
        <w:jc w:val="both"/>
      </w:pPr>
      <w:r>
        <w:rPr>
          <w:rFonts w:ascii="Times New Roman"/>
          <w:b w:val="false"/>
          <w:i w:val="false"/>
          <w:color w:val="000000"/>
          <w:sz w:val="28"/>
        </w:rPr>
        <w:t>
      Будет создан на портале otbasybank.kz модуль с базой арендодателей, позволяющий арендаторам выбирать необходимое жилье.</w:t>
      </w:r>
    </w:p>
    <w:bookmarkEnd w:id="342"/>
    <w:bookmarkStart w:name="z1062" w:id="343"/>
    <w:p>
      <w:pPr>
        <w:spacing w:after="0"/>
        <w:ind w:left="0"/>
        <w:jc w:val="both"/>
      </w:pPr>
      <w:r>
        <w:rPr>
          <w:rFonts w:ascii="Times New Roman"/>
          <w:b w:val="false"/>
          <w:i w:val="false"/>
          <w:color w:val="000000"/>
          <w:sz w:val="28"/>
        </w:rPr>
        <w:t>
      2.Предоставление очередникам из социально-уязвимых категорий жилья в аренду без права выкупав порядке очередности согласно требованиям Закона.</w:t>
      </w:r>
    </w:p>
    <w:bookmarkEnd w:id="343"/>
    <w:bookmarkStart w:name="z1063" w:id="344"/>
    <w:p>
      <w:pPr>
        <w:spacing w:after="0"/>
        <w:ind w:left="0"/>
        <w:jc w:val="both"/>
      </w:pPr>
      <w:r>
        <w:rPr>
          <w:rFonts w:ascii="Times New Roman"/>
          <w:b w:val="false"/>
          <w:i w:val="false"/>
          <w:color w:val="000000"/>
          <w:sz w:val="28"/>
        </w:rPr>
        <w:t xml:space="preserve">
      Учитывая требования Закона, не менее 20 % от общего объема арендного жилья без права выкупа будет предоставляться очередникам, определенным подпунктами 6), 9) </w:t>
      </w:r>
      <w:r>
        <w:rPr>
          <w:rFonts w:ascii="Times New Roman"/>
          <w:b w:val="false"/>
          <w:i w:val="false"/>
          <w:color w:val="000000"/>
          <w:sz w:val="28"/>
        </w:rPr>
        <w:t>статьи 68</w:t>
      </w:r>
      <w:r>
        <w:rPr>
          <w:rFonts w:ascii="Times New Roman"/>
          <w:b w:val="false"/>
          <w:i w:val="false"/>
          <w:color w:val="000000"/>
          <w:sz w:val="28"/>
        </w:rPr>
        <w:t xml:space="preserve"> Закона (по каждой категории соответственно). </w:t>
      </w:r>
    </w:p>
    <w:bookmarkEnd w:id="344"/>
    <w:bookmarkStart w:name="z1064" w:id="345"/>
    <w:p>
      <w:pPr>
        <w:spacing w:after="0"/>
        <w:ind w:left="0"/>
        <w:jc w:val="both"/>
      </w:pPr>
      <w:r>
        <w:rPr>
          <w:rFonts w:ascii="Times New Roman"/>
          <w:b w:val="false"/>
          <w:i w:val="false"/>
          <w:color w:val="000000"/>
          <w:sz w:val="28"/>
        </w:rPr>
        <w:t>
      С целью обеспечения МИО необходимым объемом коммунального жилищного фонда будут предоставляться из республиканского бюджета средства на строительство, приобретение и (или) реконструкцию жилья социального назначения согласно нормативу, определенному уполномоченным органом, с обязательным софинансированием из местного бюджета.</w:t>
      </w:r>
    </w:p>
    <w:bookmarkEnd w:id="345"/>
    <w:bookmarkStart w:name="z1065" w:id="346"/>
    <w:p>
      <w:pPr>
        <w:spacing w:after="0"/>
        <w:ind w:left="0"/>
        <w:jc w:val="both"/>
      </w:pPr>
      <w:r>
        <w:rPr>
          <w:rFonts w:ascii="Times New Roman"/>
          <w:b w:val="false"/>
          <w:i w:val="false"/>
          <w:color w:val="000000"/>
          <w:sz w:val="28"/>
        </w:rPr>
        <w:t>
      При этом в приоритетном порядке строительство арендного жилья без права выкупа будет предусматриваться в сельской местности и приграничных территориях.</w:t>
      </w:r>
    </w:p>
    <w:bookmarkEnd w:id="346"/>
    <w:bookmarkStart w:name="z1066" w:id="347"/>
    <w:p>
      <w:pPr>
        <w:spacing w:after="0"/>
        <w:ind w:left="0"/>
        <w:jc w:val="both"/>
      </w:pPr>
      <w:r>
        <w:rPr>
          <w:rFonts w:ascii="Times New Roman"/>
          <w:b w:val="false"/>
          <w:i w:val="false"/>
          <w:color w:val="000000"/>
          <w:sz w:val="28"/>
        </w:rPr>
        <w:t xml:space="preserve">
      3. Предоставление очередникам через АО "Отбасы банк" льготных займов по ставкам 2 % – 5 % для приобретения жилья социального назначения, построенных (приобретенных) за счет выпуска МИО государственных ценных бумаг (далее - ГЦБ). </w:t>
      </w:r>
    </w:p>
    <w:bookmarkEnd w:id="347"/>
    <w:bookmarkStart w:name="z1067" w:id="348"/>
    <w:p>
      <w:pPr>
        <w:spacing w:after="0"/>
        <w:ind w:left="0"/>
        <w:jc w:val="both"/>
      </w:pPr>
      <w:r>
        <w:rPr>
          <w:rFonts w:ascii="Times New Roman"/>
          <w:b w:val="false"/>
          <w:i w:val="false"/>
          <w:color w:val="000000"/>
          <w:sz w:val="28"/>
        </w:rPr>
        <w:t>
      При этом АО "КЖК" предусмотрено предоставление МИО облигационных займов, в том числе за счет средств Национального фонда Республики Казахстан, Национального Банка Республики Казахстан с правом микширования с привлеченными рыночными средствами.</w:t>
      </w:r>
    </w:p>
    <w:bookmarkEnd w:id="348"/>
    <w:bookmarkStart w:name="z1068" w:id="349"/>
    <w:p>
      <w:pPr>
        <w:spacing w:after="0"/>
        <w:ind w:left="0"/>
        <w:jc w:val="both"/>
      </w:pPr>
      <w:r>
        <w:rPr>
          <w:rFonts w:ascii="Times New Roman"/>
          <w:b w:val="false"/>
          <w:i w:val="false"/>
          <w:color w:val="000000"/>
          <w:sz w:val="28"/>
        </w:rPr>
        <w:t>
      Порядок и условия финансирования строительства (приобретения) МИО жилья социального назначения за счет выпуска ГЦБ, мониторинга и реализации жилья очередникам через АО "Отбасы банк" будут определяться правилами, утвержденными уполномоченным органом.</w:t>
      </w:r>
    </w:p>
    <w:bookmarkEnd w:id="349"/>
    <w:bookmarkStart w:name="z1069" w:id="350"/>
    <w:p>
      <w:pPr>
        <w:spacing w:after="0"/>
        <w:ind w:left="0"/>
        <w:jc w:val="both"/>
      </w:pPr>
      <w:r>
        <w:rPr>
          <w:rFonts w:ascii="Times New Roman"/>
          <w:b w:val="false"/>
          <w:i w:val="false"/>
          <w:color w:val="000000"/>
          <w:sz w:val="28"/>
        </w:rPr>
        <w:t>
      Мониторинг реализации МИО жилищных проектов обеспечивается посредством информационной системы АО "КЖК".</w:t>
      </w:r>
    </w:p>
    <w:bookmarkEnd w:id="350"/>
    <w:bookmarkStart w:name="z1070" w:id="351"/>
    <w:p>
      <w:pPr>
        <w:spacing w:after="0"/>
        <w:ind w:left="0"/>
        <w:jc w:val="both"/>
      </w:pPr>
      <w:r>
        <w:rPr>
          <w:rFonts w:ascii="Times New Roman"/>
          <w:b w:val="false"/>
          <w:i w:val="false"/>
          <w:color w:val="000000"/>
          <w:sz w:val="28"/>
        </w:rPr>
        <w:t>
      АО "Отбасы банк" предоставляются бюджетные кредиты из средств республиканского и местных бюджетов для предоставления очередникам льготных займов.</w:t>
      </w:r>
    </w:p>
    <w:bookmarkEnd w:id="351"/>
    <w:bookmarkStart w:name="z1071" w:id="352"/>
    <w:p>
      <w:pPr>
        <w:spacing w:after="0"/>
        <w:ind w:left="0"/>
        <w:jc w:val="both"/>
      </w:pPr>
      <w:r>
        <w:rPr>
          <w:rFonts w:ascii="Times New Roman"/>
          <w:b w:val="false"/>
          <w:i w:val="false"/>
          <w:color w:val="000000"/>
          <w:sz w:val="28"/>
        </w:rPr>
        <w:t>
      Для ускоренного решения жилищных вопросов очередников будет предусмотрено законодательное право МИО приобретения за счет средств, полученных от ГЦБ, готового первичного жилья, а также жилья в строящихся объектах долевого строительства, обеспеченных гарантией АО "КЖК".</w:t>
      </w:r>
    </w:p>
    <w:bookmarkEnd w:id="352"/>
    <w:bookmarkStart w:name="z1072" w:id="353"/>
    <w:p>
      <w:pPr>
        <w:spacing w:after="0"/>
        <w:ind w:left="0"/>
        <w:jc w:val="both"/>
      </w:pPr>
      <w:r>
        <w:rPr>
          <w:rFonts w:ascii="Times New Roman"/>
          <w:b w:val="false"/>
          <w:i w:val="false"/>
          <w:color w:val="000000"/>
          <w:sz w:val="28"/>
        </w:rPr>
        <w:t>
      Жилье социального назначения будет соответствовать ІII-IV классам комфортности согласно требованиям государственных нормативов, в области архитектуры, градостроительства и строительства. Общая площадь одной единицы жилья будет в пределах 80 кв. метров с допустимым отклонением до 5 %.</w:t>
      </w:r>
    </w:p>
    <w:bookmarkEnd w:id="353"/>
    <w:bookmarkStart w:name="z1073" w:id="354"/>
    <w:p>
      <w:pPr>
        <w:spacing w:after="0"/>
        <w:ind w:left="0"/>
        <w:jc w:val="left"/>
      </w:pPr>
      <w:r>
        <w:rPr>
          <w:rFonts w:ascii="Times New Roman"/>
          <w:b/>
          <w:i w:val="false"/>
          <w:color w:val="000000"/>
        </w:rPr>
        <w:t xml:space="preserve"> 3. Развитие ипотечного жилищного кредитования </w:t>
      </w:r>
    </w:p>
    <w:bookmarkEnd w:id="354"/>
    <w:bookmarkStart w:name="z1074" w:id="355"/>
    <w:p>
      <w:pPr>
        <w:spacing w:after="0"/>
        <w:ind w:left="0"/>
        <w:jc w:val="both"/>
      </w:pPr>
      <w:r>
        <w:rPr>
          <w:rFonts w:ascii="Times New Roman"/>
          <w:b w:val="false"/>
          <w:i w:val="false"/>
          <w:color w:val="000000"/>
          <w:sz w:val="28"/>
        </w:rPr>
        <w:t>
      Во избежание значительных колебаний на рынке недвижимости и сохранения финансовой стабильности будет осуществлен переход к рыночным механизмам ипотечного кредитования с внедрением субсидирования ставок вознаграждения по ипотечным программам финансовых институтов за счет средств республиканского бюджета.</w:t>
      </w:r>
    </w:p>
    <w:bookmarkEnd w:id="355"/>
    <w:bookmarkStart w:name="z1075" w:id="356"/>
    <w:p>
      <w:pPr>
        <w:spacing w:after="0"/>
        <w:ind w:left="0"/>
        <w:jc w:val="both"/>
      </w:pPr>
      <w:r>
        <w:rPr>
          <w:rFonts w:ascii="Times New Roman"/>
          <w:b w:val="false"/>
          <w:i w:val="false"/>
          <w:color w:val="000000"/>
          <w:sz w:val="28"/>
        </w:rPr>
        <w:t>
      Условия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субъекты квазигосударственного сектора, будут определяться правилами, утвержденными уполномоченным органом.</w:t>
      </w:r>
    </w:p>
    <w:bookmarkEnd w:id="356"/>
    <w:bookmarkStart w:name="z1076" w:id="357"/>
    <w:p>
      <w:pPr>
        <w:spacing w:after="0"/>
        <w:ind w:left="0"/>
        <w:jc w:val="both"/>
      </w:pPr>
      <w:r>
        <w:rPr>
          <w:rFonts w:ascii="Times New Roman"/>
          <w:b w:val="false"/>
          <w:i w:val="false"/>
          <w:color w:val="000000"/>
          <w:sz w:val="28"/>
        </w:rPr>
        <w:t xml:space="preserve">
      МИО совместно с АО "Отбасы банк" будут реализованы региональные программы льготного кредитования для молодежи и жителей моногородов с низким потенциалом развития. </w:t>
      </w:r>
    </w:p>
    <w:bookmarkEnd w:id="357"/>
    <w:bookmarkStart w:name="z1077" w:id="358"/>
    <w:p>
      <w:pPr>
        <w:spacing w:after="0"/>
        <w:ind w:left="0"/>
        <w:jc w:val="both"/>
      </w:pPr>
      <w:r>
        <w:rPr>
          <w:rFonts w:ascii="Times New Roman"/>
          <w:b w:val="false"/>
          <w:i w:val="false"/>
          <w:color w:val="000000"/>
          <w:sz w:val="28"/>
        </w:rPr>
        <w:t xml:space="preserve">
      В рамках инструментов АО "Отбасы банк" будет предусмотрена льготная ипотека с 10 % первоначальным взносом, ставкой вознаграждения не более 5 % для жителей моногородов с низким потенциалом развития при условии отсутствия жилья по территории Республики Казахстан и наличия социального контракта по трудоустройству. Финансирование льготной ипотеки будет обеспечиваться за счет средств местных бюджетов, средств работодателей и иных источников. </w:t>
      </w:r>
    </w:p>
    <w:bookmarkEnd w:id="358"/>
    <w:bookmarkStart w:name="z1078" w:id="359"/>
    <w:p>
      <w:pPr>
        <w:spacing w:after="0"/>
        <w:ind w:left="0"/>
        <w:jc w:val="both"/>
      </w:pPr>
      <w:r>
        <w:rPr>
          <w:rFonts w:ascii="Times New Roman"/>
          <w:b w:val="false"/>
          <w:i w:val="false"/>
          <w:color w:val="000000"/>
          <w:sz w:val="28"/>
        </w:rPr>
        <w:t xml:space="preserve">
      АО "Отбасы банк" будет реализована программа "Жана баспана" для кредитования военнослужащих, работников специальных государственных органов, сотрудников внутренних дел, получающих жилищные выплаты, за счет заемных и собственных средств, в том числе в рамках чистой прибыли, полученной за соответствующий финансовый год. </w:t>
      </w:r>
    </w:p>
    <w:bookmarkEnd w:id="359"/>
    <w:bookmarkStart w:name="z1079" w:id="360"/>
    <w:p>
      <w:pPr>
        <w:spacing w:after="0"/>
        <w:ind w:left="0"/>
        <w:jc w:val="both"/>
      </w:pPr>
      <w:r>
        <w:rPr>
          <w:rFonts w:ascii="Times New Roman"/>
          <w:b w:val="false"/>
          <w:i w:val="false"/>
          <w:color w:val="000000"/>
          <w:sz w:val="28"/>
        </w:rPr>
        <w:t>
      Наряду с этими инструментами развития ипотечного кредитования будут рассмотрены меры:</w:t>
      </w:r>
    </w:p>
    <w:bookmarkEnd w:id="360"/>
    <w:bookmarkStart w:name="z1080" w:id="361"/>
    <w:p>
      <w:pPr>
        <w:spacing w:after="0"/>
        <w:ind w:left="0"/>
        <w:jc w:val="both"/>
      </w:pPr>
      <w:r>
        <w:rPr>
          <w:rFonts w:ascii="Times New Roman"/>
          <w:b w:val="false"/>
          <w:i w:val="false"/>
          <w:color w:val="000000"/>
          <w:sz w:val="28"/>
        </w:rPr>
        <w:t>
      повышения инвестиционной привлекательности и ликвидности ипотечных ценных бумаг;</w:t>
      </w:r>
    </w:p>
    <w:bookmarkEnd w:id="361"/>
    <w:bookmarkStart w:name="z1081" w:id="362"/>
    <w:p>
      <w:pPr>
        <w:spacing w:after="0"/>
        <w:ind w:left="0"/>
        <w:jc w:val="both"/>
      </w:pPr>
      <w:r>
        <w:rPr>
          <w:rFonts w:ascii="Times New Roman"/>
          <w:b w:val="false"/>
          <w:i w:val="false"/>
          <w:color w:val="000000"/>
          <w:sz w:val="28"/>
        </w:rPr>
        <w:t>
      стандартизации и цифровизации рынка ипотеки, в том числе снижения издержек граждан и банков на оформление и обслуживание ипотечного кредита за счет перевода взаимодействия заемщиков, банков и государственных органов в электронный формат;</w:t>
      </w:r>
    </w:p>
    <w:bookmarkEnd w:id="362"/>
    <w:bookmarkStart w:name="z1082" w:id="363"/>
    <w:p>
      <w:pPr>
        <w:spacing w:after="0"/>
        <w:ind w:left="0"/>
        <w:jc w:val="both"/>
      </w:pPr>
      <w:r>
        <w:rPr>
          <w:rFonts w:ascii="Times New Roman"/>
          <w:b w:val="false"/>
          <w:i w:val="false"/>
          <w:color w:val="000000"/>
          <w:sz w:val="28"/>
        </w:rPr>
        <w:t>
      развития механизма ипотечного кредитования строительства индивидуальных жилых домов, в том числе льготных ипотечных программ, и строительства индивидуальных жилых домов гражданами самостоятельно;</w:t>
      </w:r>
    </w:p>
    <w:bookmarkEnd w:id="363"/>
    <w:bookmarkStart w:name="z1083" w:id="364"/>
    <w:p>
      <w:pPr>
        <w:spacing w:after="0"/>
        <w:ind w:left="0"/>
        <w:jc w:val="both"/>
      </w:pPr>
      <w:r>
        <w:rPr>
          <w:rFonts w:ascii="Times New Roman"/>
          <w:b w:val="false"/>
          <w:i w:val="false"/>
          <w:color w:val="000000"/>
          <w:sz w:val="28"/>
        </w:rPr>
        <w:t>
      расширения возможности использования цифровых активов в строительстве (цифровые деньги, цифровая закладная);</w:t>
      </w:r>
    </w:p>
    <w:bookmarkEnd w:id="364"/>
    <w:bookmarkStart w:name="z1084" w:id="365"/>
    <w:p>
      <w:pPr>
        <w:spacing w:after="0"/>
        <w:ind w:left="0"/>
        <w:jc w:val="both"/>
      </w:pPr>
      <w:r>
        <w:rPr>
          <w:rFonts w:ascii="Times New Roman"/>
          <w:b w:val="false"/>
          <w:i w:val="false"/>
          <w:color w:val="000000"/>
          <w:sz w:val="28"/>
        </w:rPr>
        <w:t>
      дифференцированного подхода реализации механизмов льготной ипотеки с учетом объемов интенсивного строительства жилья частными застройщиками, территориальной расположенности (сельские населенные пункты, приграничные территории).</w:t>
      </w:r>
    </w:p>
    <w:bookmarkEnd w:id="365"/>
    <w:bookmarkStart w:name="z1085" w:id="366"/>
    <w:p>
      <w:pPr>
        <w:spacing w:after="0"/>
        <w:ind w:left="0"/>
        <w:jc w:val="left"/>
      </w:pPr>
      <w:r>
        <w:rPr>
          <w:rFonts w:ascii="Times New Roman"/>
          <w:b/>
          <w:i w:val="false"/>
          <w:color w:val="000000"/>
        </w:rPr>
        <w:t xml:space="preserve"> 4. Обеспечение защиты долевых вкладов в жилищное строительство </w:t>
      </w:r>
    </w:p>
    <w:bookmarkEnd w:id="366"/>
    <w:bookmarkStart w:name="z1086" w:id="367"/>
    <w:p>
      <w:pPr>
        <w:spacing w:after="0"/>
        <w:ind w:left="0"/>
        <w:jc w:val="both"/>
      </w:pPr>
      <w:r>
        <w:rPr>
          <w:rFonts w:ascii="Times New Roman"/>
          <w:b w:val="false"/>
          <w:i w:val="false"/>
          <w:color w:val="000000"/>
          <w:sz w:val="28"/>
        </w:rPr>
        <w:t>
      1. Механизм завершения строительства проблемных объектов жилищного строительства, осуществляемых в обход законодательства.</w:t>
      </w:r>
    </w:p>
    <w:bookmarkEnd w:id="367"/>
    <w:bookmarkStart w:name="z1087" w:id="368"/>
    <w:p>
      <w:pPr>
        <w:spacing w:after="0"/>
        <w:ind w:left="0"/>
        <w:jc w:val="both"/>
      </w:pPr>
      <w:r>
        <w:rPr>
          <w:rFonts w:ascii="Times New Roman"/>
          <w:b w:val="false"/>
          <w:i w:val="false"/>
          <w:color w:val="000000"/>
          <w:sz w:val="28"/>
        </w:rPr>
        <w:t>
      МИО для выявления в регионе проблемных объектов жилищного строительства будет осуществляться на постоянной основе мониторинг строительства жилых объектов.</w:t>
      </w:r>
    </w:p>
    <w:bookmarkEnd w:id="368"/>
    <w:bookmarkStart w:name="z1088" w:id="369"/>
    <w:p>
      <w:pPr>
        <w:spacing w:after="0"/>
        <w:ind w:left="0"/>
        <w:jc w:val="both"/>
      </w:pPr>
      <w:r>
        <w:rPr>
          <w:rFonts w:ascii="Times New Roman"/>
          <w:b w:val="false"/>
          <w:i w:val="false"/>
          <w:color w:val="000000"/>
          <w:sz w:val="28"/>
        </w:rPr>
        <w:t>
      Вопросы определения объектов проблемными и их завершения путем привлечения инвесторов, уполномоченной организации или иных способов будут рассматриваться на создаваемой МИО межведомственной комиссии по вопросам долевого участия в жилищном строительстве.</w:t>
      </w:r>
    </w:p>
    <w:bookmarkEnd w:id="369"/>
    <w:bookmarkStart w:name="z1089" w:id="370"/>
    <w:p>
      <w:pPr>
        <w:spacing w:after="0"/>
        <w:ind w:left="0"/>
        <w:jc w:val="both"/>
      </w:pPr>
      <w:r>
        <w:rPr>
          <w:rFonts w:ascii="Times New Roman"/>
          <w:b w:val="false"/>
          <w:i w:val="false"/>
          <w:color w:val="000000"/>
          <w:sz w:val="28"/>
        </w:rPr>
        <w:t>
      Законом о долевом участии в жилищном строительстве предусмотрены правовые основы создания уполномоченной организации, формирование и увеличение уставного капитала, которой будут осуществляться за счет средств местного бюджета.</w:t>
      </w:r>
    </w:p>
    <w:bookmarkEnd w:id="370"/>
    <w:bookmarkStart w:name="z1090" w:id="371"/>
    <w:p>
      <w:pPr>
        <w:spacing w:after="0"/>
        <w:ind w:left="0"/>
        <w:jc w:val="both"/>
      </w:pPr>
      <w:r>
        <w:rPr>
          <w:rFonts w:ascii="Times New Roman"/>
          <w:b w:val="false"/>
          <w:i w:val="false"/>
          <w:color w:val="000000"/>
          <w:sz w:val="28"/>
        </w:rPr>
        <w:t>
      Законом о долевом участии в жилищном строительстве предусмотрены правовые основы создания уполномоченной организации, формирование и увеличение уставного капитала, которой будет осуществляться за счет средств местного и республиканского бюджета, для обеспечения строительства МЖД с последующей реализацией и реинвестирования вырученных средств в строительство, а также в целях решения вопросов физических лиц, признанных пострадавшими по решению суда в результате "двойных продаж" и отсутствия существующих площадей.</w:t>
      </w:r>
    </w:p>
    <w:bookmarkEnd w:id="371"/>
    <w:bookmarkStart w:name="z1091" w:id="372"/>
    <w:p>
      <w:pPr>
        <w:spacing w:after="0"/>
        <w:ind w:left="0"/>
        <w:jc w:val="both"/>
      </w:pPr>
      <w:r>
        <w:rPr>
          <w:rFonts w:ascii="Times New Roman"/>
          <w:b w:val="false"/>
          <w:i w:val="false"/>
          <w:color w:val="000000"/>
          <w:sz w:val="28"/>
        </w:rPr>
        <w:t>
      В качестве дополнительных источников финансирования уполномоченными организациями будут привлекаться бюджетные кредиты в порядке, предусмотренном действующим бюджетным законодательством Республики Казахстан, в том числе в рамках выпуска МИО ГЦБ с условием обеспечения за счет свободных жилых помещений очередников, определенных жилищным законодательством, в соответствии с правилами, утвержденными уполномоченным органом.</w:t>
      </w:r>
    </w:p>
    <w:bookmarkEnd w:id="372"/>
    <w:bookmarkStart w:name="z1092" w:id="373"/>
    <w:p>
      <w:pPr>
        <w:spacing w:after="0"/>
        <w:ind w:left="0"/>
        <w:jc w:val="both"/>
      </w:pPr>
      <w:r>
        <w:rPr>
          <w:rFonts w:ascii="Times New Roman"/>
          <w:b w:val="false"/>
          <w:i w:val="false"/>
          <w:color w:val="000000"/>
          <w:sz w:val="28"/>
        </w:rPr>
        <w:t>
      МИО будет обеспечивать в системе "Казреестр" поименный реестр дольщиков проблемных объектов с указанием суммы вложенных средств и стоимости приобретаемой квартиры, наименования и местонахождения объекта, статусов права требования к имуществу.</w:t>
      </w:r>
    </w:p>
    <w:bookmarkEnd w:id="373"/>
    <w:bookmarkStart w:name="z1093" w:id="374"/>
    <w:p>
      <w:pPr>
        <w:spacing w:after="0"/>
        <w:ind w:left="0"/>
        <w:jc w:val="both"/>
      </w:pPr>
      <w:r>
        <w:rPr>
          <w:rFonts w:ascii="Times New Roman"/>
          <w:b w:val="false"/>
          <w:i w:val="false"/>
          <w:color w:val="000000"/>
          <w:sz w:val="28"/>
        </w:rPr>
        <w:t>
      Уполномоченная организация в соответствии с порядком, утвержденным МИО, за счет привлеченных средств будет осуществлять финансовый, юридический и технический аудит проблемных объектов жилищного строительства, снос и (или) демонтаж объектов, в том числе объектов незавершенного строительства, выкуп земельных участков (прав землепользования, финансировать проектные и строительно-монтажные работы, строительство новых МЖД, а также авансировать строительство с условием обеспечения возвратности средств).</w:t>
      </w:r>
    </w:p>
    <w:bookmarkEnd w:id="374"/>
    <w:bookmarkStart w:name="z1094" w:id="375"/>
    <w:p>
      <w:pPr>
        <w:spacing w:after="0"/>
        <w:ind w:left="0"/>
        <w:jc w:val="both"/>
      </w:pPr>
      <w:r>
        <w:rPr>
          <w:rFonts w:ascii="Times New Roman"/>
          <w:b w:val="false"/>
          <w:i w:val="false"/>
          <w:color w:val="000000"/>
          <w:sz w:val="28"/>
        </w:rPr>
        <w:t>
      Для осуществления уполномоченной организацией финансирования строительства необходимо наличие финансового и технического аудита проблемных объектов, разработанной проектно-сметной документации на остаточные виды работ, прошедшей в установленном порядке комплексную вневедомственную экспертизу, по который определяются ценовые и технические параметры жилых объектов. На основании данных документов, а также данных о наличии свободных площадей уполномоченная организация будет определять объем финансовых средств, необходимый для завершения строительства, с условием обеспечения возвратности средств в установленные сроки.</w:t>
      </w:r>
    </w:p>
    <w:bookmarkEnd w:id="375"/>
    <w:bookmarkStart w:name="z1095" w:id="376"/>
    <w:p>
      <w:pPr>
        <w:spacing w:after="0"/>
        <w:ind w:left="0"/>
        <w:jc w:val="both"/>
      </w:pPr>
      <w:r>
        <w:rPr>
          <w:rFonts w:ascii="Times New Roman"/>
          <w:b w:val="false"/>
          <w:i w:val="false"/>
          <w:color w:val="000000"/>
          <w:sz w:val="28"/>
        </w:rPr>
        <w:t>
      Возвратность вложенных средств будет обеспечиваться за счет передачи уполномоченной организации свободных площадей и (или) средств от их реализации в проблемных объектах и (или) новых МЖД, а также денежных средств и (или) имущества, взысканного в пользу дольщиков.</w:t>
      </w:r>
    </w:p>
    <w:bookmarkEnd w:id="376"/>
    <w:bookmarkStart w:name="z1096" w:id="377"/>
    <w:p>
      <w:pPr>
        <w:spacing w:after="0"/>
        <w:ind w:left="0"/>
        <w:jc w:val="both"/>
      </w:pPr>
      <w:r>
        <w:rPr>
          <w:rFonts w:ascii="Times New Roman"/>
          <w:b w:val="false"/>
          <w:i w:val="false"/>
          <w:color w:val="000000"/>
          <w:sz w:val="28"/>
        </w:rPr>
        <w:t>
      Уполномоченная организация с учетом возвратности средств по согласованию с МИО будет использовать повторно средства от реализации свободных площадей на объектах и (или) средств от реализации имущества, взысканного в пользу дольщиков, а также в рамках предоставляемых кредитных средств, на строительство новых МЖД (со встроенными помещениями и паркингом).</w:t>
      </w:r>
    </w:p>
    <w:bookmarkEnd w:id="377"/>
    <w:bookmarkStart w:name="z1097" w:id="378"/>
    <w:p>
      <w:pPr>
        <w:spacing w:after="0"/>
        <w:ind w:left="0"/>
        <w:jc w:val="both"/>
      </w:pPr>
      <w:r>
        <w:rPr>
          <w:rFonts w:ascii="Times New Roman"/>
          <w:b w:val="false"/>
          <w:i w:val="false"/>
          <w:color w:val="000000"/>
          <w:sz w:val="28"/>
        </w:rPr>
        <w:t xml:space="preserve">
      МИО за счет средств местного бюджета будут обеспечивать финансирование строительства инженерных сетей, благоустройство для завершения строительства проблемных объектов. </w:t>
      </w:r>
    </w:p>
    <w:bookmarkEnd w:id="378"/>
    <w:bookmarkStart w:name="z1098" w:id="379"/>
    <w:p>
      <w:pPr>
        <w:spacing w:after="0"/>
        <w:ind w:left="0"/>
        <w:jc w:val="both"/>
      </w:pPr>
      <w:r>
        <w:rPr>
          <w:rFonts w:ascii="Times New Roman"/>
          <w:b w:val="false"/>
          <w:i w:val="false"/>
          <w:color w:val="000000"/>
          <w:sz w:val="28"/>
        </w:rPr>
        <w:t xml:space="preserve">
      2. Совершенствование механизма долевых вкладов </w:t>
      </w:r>
    </w:p>
    <w:bookmarkEnd w:id="379"/>
    <w:bookmarkStart w:name="z1099" w:id="380"/>
    <w:p>
      <w:pPr>
        <w:spacing w:after="0"/>
        <w:ind w:left="0"/>
        <w:jc w:val="both"/>
      </w:pPr>
      <w:r>
        <w:rPr>
          <w:rFonts w:ascii="Times New Roman"/>
          <w:b w:val="false"/>
          <w:i w:val="false"/>
          <w:color w:val="000000"/>
          <w:sz w:val="28"/>
        </w:rPr>
        <w:t>
      Будут предусмотрены меры по совершенствованию законодательства о долевом участии в жилищном строительстве с созданием более благоприятных условий для всех участников рынка, усиления ответственности агентств недвижимости, отделов продаж, рекламных компаний, риэлторов, застройщиков, строящих в обход законодательства, увеличения штрафных санкций, а также будут расширены функции уполномоченных организаций в части привлечения средств дольщиков при реализации мероприятий по реновации жилищного фонда.</w:t>
      </w:r>
    </w:p>
    <w:bookmarkEnd w:id="380"/>
    <w:bookmarkStart w:name="z1100" w:id="381"/>
    <w:p>
      <w:pPr>
        <w:spacing w:after="0"/>
        <w:ind w:left="0"/>
        <w:jc w:val="both"/>
      </w:pPr>
      <w:r>
        <w:rPr>
          <w:rFonts w:ascii="Times New Roman"/>
          <w:b w:val="false"/>
          <w:i w:val="false"/>
          <w:color w:val="000000"/>
          <w:sz w:val="28"/>
        </w:rPr>
        <w:t xml:space="preserve">
      Будет модернизироваться система "Казреестр" с целью выявления незаконного привлечения средств дольщиков и исключения "двойных продаж". </w:t>
      </w:r>
    </w:p>
    <w:bookmarkEnd w:id="381"/>
    <w:bookmarkStart w:name="z1101" w:id="382"/>
    <w:p>
      <w:pPr>
        <w:spacing w:after="0"/>
        <w:ind w:left="0"/>
        <w:jc w:val="both"/>
      </w:pPr>
      <w:r>
        <w:rPr>
          <w:rFonts w:ascii="Times New Roman"/>
          <w:b w:val="false"/>
          <w:i w:val="false"/>
          <w:color w:val="000000"/>
          <w:sz w:val="28"/>
        </w:rPr>
        <w:t>
      Будут усилены требования к жилищно-строительным кооперативам, в части обязательного наличия земельных участков для реализации проекта, не менее 50 % участников от эскизного проекта на момент создания и утвержденной проектно-сметной документации при привлечении дополнительных участников.</w:t>
      </w:r>
    </w:p>
    <w:bookmarkEnd w:id="382"/>
    <w:bookmarkStart w:name="z1102" w:id="383"/>
    <w:p>
      <w:pPr>
        <w:spacing w:after="0"/>
        <w:ind w:left="0"/>
        <w:jc w:val="left"/>
      </w:pPr>
      <w:r>
        <w:rPr>
          <w:rFonts w:ascii="Times New Roman"/>
          <w:b/>
          <w:i w:val="false"/>
          <w:color w:val="000000"/>
        </w:rPr>
        <w:t xml:space="preserve"> 5. Обновление жилищного фонда</w:t>
      </w:r>
    </w:p>
    <w:bookmarkEnd w:id="383"/>
    <w:bookmarkStart w:name="z1103" w:id="384"/>
    <w:p>
      <w:pPr>
        <w:spacing w:after="0"/>
        <w:ind w:left="0"/>
        <w:jc w:val="both"/>
      </w:pPr>
      <w:r>
        <w:rPr>
          <w:rFonts w:ascii="Times New Roman"/>
          <w:b w:val="false"/>
          <w:i w:val="false"/>
          <w:color w:val="000000"/>
          <w:sz w:val="28"/>
        </w:rPr>
        <w:t>
      1. Механизмы реновации жилищного фонда</w:t>
      </w:r>
    </w:p>
    <w:bookmarkEnd w:id="384"/>
    <w:bookmarkStart w:name="z1104" w:id="385"/>
    <w:p>
      <w:pPr>
        <w:spacing w:after="0"/>
        <w:ind w:left="0"/>
        <w:jc w:val="both"/>
      </w:pPr>
      <w:r>
        <w:rPr>
          <w:rFonts w:ascii="Times New Roman"/>
          <w:b w:val="false"/>
          <w:i w:val="false"/>
          <w:color w:val="000000"/>
          <w:sz w:val="28"/>
        </w:rPr>
        <w:t>
      МИО будут утверждены по согласованию с общественностью программы реновации жилищного фонда "старых кварталов" и установлены в ней механизм и критерии реализации, в том числе порядок и условия возмещения собственникам жилья в многоквартирных жилых домах, а также механизмы финансирования, в том числе с привлечением уполномоченной организации.</w:t>
      </w:r>
    </w:p>
    <w:bookmarkEnd w:id="385"/>
    <w:bookmarkStart w:name="z1105" w:id="386"/>
    <w:p>
      <w:pPr>
        <w:spacing w:after="0"/>
        <w:ind w:left="0"/>
        <w:jc w:val="both"/>
      </w:pPr>
      <w:r>
        <w:rPr>
          <w:rFonts w:ascii="Times New Roman"/>
          <w:b w:val="false"/>
          <w:i w:val="false"/>
          <w:color w:val="000000"/>
          <w:sz w:val="28"/>
        </w:rPr>
        <w:t>
      При этом собственникам жилых помещений будут предоставляться новые квартиры в равнозначных по площади размерах, но не менее однокомнатной квартиры. Собственникам нежилых помещений возмещается ее стоимость.</w:t>
      </w:r>
    </w:p>
    <w:bookmarkEnd w:id="386"/>
    <w:bookmarkStart w:name="z1106" w:id="387"/>
    <w:p>
      <w:pPr>
        <w:spacing w:after="0"/>
        <w:ind w:left="0"/>
        <w:jc w:val="both"/>
      </w:pPr>
      <w:r>
        <w:rPr>
          <w:rFonts w:ascii="Times New Roman"/>
          <w:b w:val="false"/>
          <w:i w:val="false"/>
          <w:color w:val="000000"/>
          <w:sz w:val="28"/>
        </w:rPr>
        <w:t>
      В случае согласия собственника нежилого помещения, возмещение за реализуемое имущество будет рассматриваться путем предоставления равнозначных по площади нежилых помещений в строящихся объектах.</w:t>
      </w:r>
    </w:p>
    <w:bookmarkEnd w:id="387"/>
    <w:bookmarkStart w:name="z1107" w:id="388"/>
    <w:p>
      <w:pPr>
        <w:spacing w:after="0"/>
        <w:ind w:left="0"/>
        <w:jc w:val="both"/>
      </w:pPr>
      <w:r>
        <w:rPr>
          <w:rFonts w:ascii="Times New Roman"/>
          <w:b w:val="false"/>
          <w:i w:val="false"/>
          <w:color w:val="000000"/>
          <w:sz w:val="28"/>
        </w:rPr>
        <w:t>
      Перечень объектов, подлежащих реновации, определяется МИО с учетом износа строительных конструкций жилого фонда, их соответствия эксплуатационным требованиям, а также мнения собственников помещений.</w:t>
      </w:r>
    </w:p>
    <w:bookmarkEnd w:id="388"/>
    <w:bookmarkStart w:name="z1108" w:id="389"/>
    <w:p>
      <w:pPr>
        <w:spacing w:after="0"/>
        <w:ind w:left="0"/>
        <w:jc w:val="both"/>
      </w:pPr>
      <w:r>
        <w:rPr>
          <w:rFonts w:ascii="Times New Roman"/>
          <w:b w:val="false"/>
          <w:i w:val="false"/>
          <w:color w:val="000000"/>
          <w:sz w:val="28"/>
        </w:rPr>
        <w:t xml:space="preserve">
      Снос аварийных (ветхих) жилых домов будет производиться за счет средств местного бюджета. </w:t>
      </w:r>
    </w:p>
    <w:bookmarkEnd w:id="389"/>
    <w:bookmarkStart w:name="z1109" w:id="390"/>
    <w:p>
      <w:pPr>
        <w:spacing w:after="0"/>
        <w:ind w:left="0"/>
        <w:jc w:val="both"/>
      </w:pPr>
      <w:r>
        <w:rPr>
          <w:rFonts w:ascii="Times New Roman"/>
          <w:b w:val="false"/>
          <w:i w:val="false"/>
          <w:color w:val="000000"/>
          <w:sz w:val="28"/>
        </w:rPr>
        <w:t xml:space="preserve">
      В рамках реализации проектов по реновации жилищного фонда МИО будут предусматривать строительство малогабаритного жилья и жилья І-IV классов комфортности с коммерческими помещениями и паркингами для реализации на рынке в целях реинвестирования проекта или реновации ветхого жилья. </w:t>
      </w:r>
    </w:p>
    <w:bookmarkEnd w:id="390"/>
    <w:bookmarkStart w:name="z1110" w:id="391"/>
    <w:p>
      <w:pPr>
        <w:spacing w:after="0"/>
        <w:ind w:left="0"/>
        <w:jc w:val="both"/>
      </w:pPr>
      <w:r>
        <w:rPr>
          <w:rFonts w:ascii="Times New Roman"/>
          <w:b w:val="false"/>
          <w:i w:val="false"/>
          <w:color w:val="000000"/>
          <w:sz w:val="28"/>
        </w:rPr>
        <w:t>
      Стоимость реализации 1 квадратного метра общей площади жилья будет определяться уровнем комфортности строящегося жилья и сложившейся конъюнктуры рынка недвижимости на момент реализации, но не ниже себестоимости строительства.</w:t>
      </w:r>
    </w:p>
    <w:bookmarkEnd w:id="391"/>
    <w:bookmarkStart w:name="z1111" w:id="392"/>
    <w:p>
      <w:pPr>
        <w:spacing w:after="0"/>
        <w:ind w:left="0"/>
        <w:jc w:val="both"/>
      </w:pPr>
      <w:r>
        <w:rPr>
          <w:rFonts w:ascii="Times New Roman"/>
          <w:b w:val="false"/>
          <w:i w:val="false"/>
          <w:color w:val="000000"/>
          <w:sz w:val="28"/>
        </w:rPr>
        <w:t>
      Для финансирования проектов реновации жилищного фонда будут направлены средства местного бюджета, ГЦБ, частные инвестиции, в том числе через механизмы ГЧП, займы финансовых институтов, субъектов квазигосударственного сектора, доходы от продажи жилых и нежилых помещений в ходе реализации проекта.</w:t>
      </w:r>
    </w:p>
    <w:bookmarkEnd w:id="392"/>
    <w:bookmarkStart w:name="z1112" w:id="393"/>
    <w:p>
      <w:pPr>
        <w:spacing w:after="0"/>
        <w:ind w:left="0"/>
        <w:jc w:val="both"/>
      </w:pPr>
      <w:r>
        <w:rPr>
          <w:rFonts w:ascii="Times New Roman"/>
          <w:b w:val="false"/>
          <w:i w:val="false"/>
          <w:color w:val="000000"/>
          <w:sz w:val="28"/>
        </w:rPr>
        <w:t>
      При использовании средств, привлеченных к МИО путем выпуска ГЦБ для финансирования строительства жилой части объектов, будет предусмотрена реализация жилья очередникам соразмерно объему финансирования в соответствии с правилами, утвержденными уполномоченными органами.</w:t>
      </w:r>
    </w:p>
    <w:bookmarkEnd w:id="393"/>
    <w:bookmarkStart w:name="z1113" w:id="394"/>
    <w:p>
      <w:pPr>
        <w:spacing w:after="0"/>
        <w:ind w:left="0"/>
        <w:jc w:val="both"/>
      </w:pPr>
      <w:r>
        <w:rPr>
          <w:rFonts w:ascii="Times New Roman"/>
          <w:b w:val="false"/>
          <w:i w:val="false"/>
          <w:color w:val="000000"/>
          <w:sz w:val="28"/>
        </w:rPr>
        <w:t>
      2. Модернизация жилищного фонда</w:t>
      </w:r>
    </w:p>
    <w:bookmarkEnd w:id="394"/>
    <w:bookmarkStart w:name="z1114" w:id="395"/>
    <w:p>
      <w:pPr>
        <w:spacing w:after="0"/>
        <w:ind w:left="0"/>
        <w:jc w:val="both"/>
      </w:pPr>
      <w:r>
        <w:rPr>
          <w:rFonts w:ascii="Times New Roman"/>
          <w:b w:val="false"/>
          <w:i w:val="false"/>
          <w:color w:val="000000"/>
          <w:sz w:val="28"/>
        </w:rPr>
        <w:t>
      МИО будет инвентаризирован жилищный фонд с оценкой технического состояния (паспортизации) жилищного фонда.</w:t>
      </w:r>
    </w:p>
    <w:bookmarkEnd w:id="395"/>
    <w:bookmarkStart w:name="z1115" w:id="396"/>
    <w:p>
      <w:pPr>
        <w:spacing w:after="0"/>
        <w:ind w:left="0"/>
        <w:jc w:val="both"/>
      </w:pPr>
      <w:r>
        <w:rPr>
          <w:rFonts w:ascii="Times New Roman"/>
          <w:b w:val="false"/>
          <w:i w:val="false"/>
          <w:color w:val="000000"/>
          <w:sz w:val="28"/>
        </w:rPr>
        <w:t>
      В результате проведения инвентаризации будут получены объективные данные по количеству домов и их технических характеристиках, класса энергоэффективности, оснащенности общедомовыми приборами учета и автоматизированными системами регулирования теплопотребления.</w:t>
      </w:r>
    </w:p>
    <w:bookmarkEnd w:id="396"/>
    <w:bookmarkStart w:name="z1116" w:id="397"/>
    <w:p>
      <w:pPr>
        <w:spacing w:after="0"/>
        <w:ind w:left="0"/>
        <w:jc w:val="both"/>
      </w:pPr>
      <w:r>
        <w:rPr>
          <w:rFonts w:ascii="Times New Roman"/>
          <w:b w:val="false"/>
          <w:i w:val="false"/>
          <w:color w:val="000000"/>
          <w:sz w:val="28"/>
        </w:rPr>
        <w:t>
      В ИС централизованного сбора будет сформирован реестр данных по каждому жилому дому, прошедшему паспортизацию и подлежащему сносу или капитальному ремонту.</w:t>
      </w:r>
    </w:p>
    <w:bookmarkEnd w:id="397"/>
    <w:bookmarkStart w:name="z1117" w:id="398"/>
    <w:p>
      <w:pPr>
        <w:spacing w:after="0"/>
        <w:ind w:left="0"/>
        <w:jc w:val="both"/>
      </w:pPr>
      <w:r>
        <w:rPr>
          <w:rFonts w:ascii="Times New Roman"/>
          <w:b w:val="false"/>
          <w:i w:val="false"/>
          <w:color w:val="000000"/>
          <w:sz w:val="28"/>
        </w:rPr>
        <w:t xml:space="preserve">
      В сфере энергосбережения и повышения энергоэффективности для реновации жилищного сектора будут внедрены механизмы стимулирования, такие как классы энергоэффективности, постпроектный анализ соответствия требованиям по энергоэффективности новых зданий. </w:t>
      </w:r>
    </w:p>
    <w:bookmarkEnd w:id="398"/>
    <w:bookmarkStart w:name="z1118" w:id="399"/>
    <w:p>
      <w:pPr>
        <w:spacing w:after="0"/>
        <w:ind w:left="0"/>
        <w:jc w:val="both"/>
      </w:pPr>
      <w:r>
        <w:rPr>
          <w:rFonts w:ascii="Times New Roman"/>
          <w:b w:val="false"/>
          <w:i w:val="false"/>
          <w:color w:val="000000"/>
          <w:sz w:val="28"/>
        </w:rPr>
        <w:t>
      Для рационального использования энергетических ресурсов и обеспечения прозрачности тарифов за потребленные ресурсы жилищный сектор будет оснащен общедомовыми приборами учета тепловой энергии и воды с дистанционной передачей данных и автоматизированных (индивидуальных) тепловых пунктов за счет местных бюджетов, собственных средств объектов кондоминиума и других источников.</w:t>
      </w:r>
    </w:p>
    <w:bookmarkEnd w:id="399"/>
    <w:bookmarkStart w:name="z1119" w:id="400"/>
    <w:p>
      <w:pPr>
        <w:spacing w:after="0"/>
        <w:ind w:left="0"/>
        <w:jc w:val="both"/>
      </w:pPr>
      <w:r>
        <w:rPr>
          <w:rFonts w:ascii="Times New Roman"/>
          <w:b w:val="false"/>
          <w:i w:val="false"/>
          <w:color w:val="000000"/>
          <w:sz w:val="28"/>
        </w:rPr>
        <w:t>
      Будет проводиться информационно-разъяснительная работа среди населения по вопросам энергосбережения и повышения энергоэффективности, что позволит сформировать у собственников квартир, нежилых помещений понимание необходимости бережного отношения к общему имуществу объекта кондоминиума и экономии энергоресурсов.</w:t>
      </w:r>
    </w:p>
    <w:bookmarkEnd w:id="400"/>
    <w:bookmarkStart w:name="z1120" w:id="401"/>
    <w:p>
      <w:pPr>
        <w:spacing w:after="0"/>
        <w:ind w:left="0"/>
        <w:jc w:val="both"/>
      </w:pPr>
      <w:r>
        <w:rPr>
          <w:rFonts w:ascii="Times New Roman"/>
          <w:b w:val="false"/>
          <w:i w:val="false"/>
          <w:color w:val="000000"/>
          <w:sz w:val="28"/>
        </w:rPr>
        <w:t>
      МИО будут обеспечивать за счет местного бюджета содержание уполномоченной организации, специализирующейся на ремонте жилых домов.</w:t>
      </w:r>
    </w:p>
    <w:bookmarkEnd w:id="401"/>
    <w:bookmarkStart w:name="z1121" w:id="402"/>
    <w:p>
      <w:pPr>
        <w:spacing w:after="0"/>
        <w:ind w:left="0"/>
        <w:jc w:val="both"/>
      </w:pPr>
      <w:r>
        <w:rPr>
          <w:rFonts w:ascii="Times New Roman"/>
          <w:b w:val="false"/>
          <w:i w:val="false"/>
          <w:color w:val="000000"/>
          <w:sz w:val="28"/>
        </w:rPr>
        <w:t>
      Для капитального ремонта МЖД объектов кондоминиума будут использоваться бюджетные кредиты с микшированием возвратных средств, получаемых от ранее выделенных бюджетных кредитов на ремонт МЖД других объектов кондоминиума.</w:t>
      </w:r>
    </w:p>
    <w:bookmarkEnd w:id="402"/>
    <w:bookmarkStart w:name="z1122" w:id="403"/>
    <w:p>
      <w:pPr>
        <w:spacing w:after="0"/>
        <w:ind w:left="0"/>
        <w:jc w:val="both"/>
      </w:pPr>
      <w:r>
        <w:rPr>
          <w:rFonts w:ascii="Times New Roman"/>
          <w:b w:val="false"/>
          <w:i w:val="false"/>
          <w:color w:val="000000"/>
          <w:sz w:val="28"/>
        </w:rPr>
        <w:t>
      Для проведения ремонта в МЖД областным бюджетам, бюджетам городов Астана, Алматы и Шымкента будут выделяться из республиканского бюджета бюджетные кредиты под ставкой 0,1 % годовых сроком на 7 лет.</w:t>
      </w:r>
    </w:p>
    <w:bookmarkEnd w:id="403"/>
    <w:bookmarkStart w:name="z1123" w:id="404"/>
    <w:p>
      <w:pPr>
        <w:spacing w:after="0"/>
        <w:ind w:left="0"/>
        <w:jc w:val="both"/>
      </w:pPr>
      <w:r>
        <w:rPr>
          <w:rFonts w:ascii="Times New Roman"/>
          <w:b w:val="false"/>
          <w:i w:val="false"/>
          <w:color w:val="000000"/>
          <w:sz w:val="28"/>
        </w:rPr>
        <w:t>
      МИО будут в рамках средств местного бюджета осуществлять организацию и финансирование капитального ремонта МЖД, замену (ремонт) лифтов в МЖД с условием обеспечения возвратности средств, собственниками помещений (квартир).</w:t>
      </w:r>
    </w:p>
    <w:bookmarkEnd w:id="404"/>
    <w:bookmarkStart w:name="z1124" w:id="405"/>
    <w:p>
      <w:pPr>
        <w:spacing w:after="0"/>
        <w:ind w:left="0"/>
        <w:jc w:val="both"/>
      </w:pPr>
      <w:r>
        <w:rPr>
          <w:rFonts w:ascii="Times New Roman"/>
          <w:b w:val="false"/>
          <w:i w:val="false"/>
          <w:color w:val="000000"/>
          <w:sz w:val="28"/>
        </w:rPr>
        <w:t>
      Будет автоматизирован механизм назначения жилищной помощи малообеспеченным гражданам для оплаты коммунальных услуг, что ускорит получение государственной услуги.</w:t>
      </w:r>
    </w:p>
    <w:bookmarkEnd w:id="405"/>
    <w:bookmarkStart w:name="z1125" w:id="406"/>
    <w:p>
      <w:pPr>
        <w:spacing w:after="0"/>
        <w:ind w:left="0"/>
        <w:jc w:val="both"/>
      </w:pPr>
      <w:r>
        <w:rPr>
          <w:rFonts w:ascii="Times New Roman"/>
          <w:b w:val="false"/>
          <w:i w:val="false"/>
          <w:color w:val="000000"/>
          <w:sz w:val="28"/>
        </w:rPr>
        <w:t xml:space="preserve">
      МИО в рамках внедрения реформы в сфере ЖКХ будут обеспечивать государственное техническое обследование функционирующих МЖД и регистрацию объектов кондоминиума за счет средств местного бюджета, что позволит в целом по республике обеспечить 100 %-ную регистрацию объекта кондоминиума и создать законные предпосылки для использования собственниками квартир, нежилых помещений отдельных частей общего имущества объекта кондоминиума. </w:t>
      </w:r>
    </w:p>
    <w:bookmarkEnd w:id="406"/>
    <w:bookmarkStart w:name="z1126" w:id="407"/>
    <w:p>
      <w:pPr>
        <w:spacing w:after="0"/>
        <w:ind w:left="0"/>
        <w:jc w:val="both"/>
      </w:pPr>
      <w:r>
        <w:rPr>
          <w:rFonts w:ascii="Times New Roman"/>
          <w:b w:val="false"/>
          <w:i w:val="false"/>
          <w:color w:val="000000"/>
          <w:sz w:val="28"/>
        </w:rPr>
        <w:t>
      В целях внедрения эффективных механизмов управления жилищным фондом будут приняты меры по совершенствованию жилищного законодательства на постоянной основе, в том числе в части наделения жилищных инспекций правом инспекционного обследования подконтрольных объектов, с усилением статуса жилищных инспекторов.</w:t>
      </w:r>
    </w:p>
    <w:bookmarkEnd w:id="407"/>
    <w:bookmarkStart w:name="z1127" w:id="408"/>
    <w:p>
      <w:pPr>
        <w:spacing w:after="0"/>
        <w:ind w:left="0"/>
        <w:jc w:val="both"/>
      </w:pPr>
      <w:r>
        <w:rPr>
          <w:rFonts w:ascii="Times New Roman"/>
          <w:b w:val="false"/>
          <w:i w:val="false"/>
          <w:color w:val="000000"/>
          <w:sz w:val="28"/>
        </w:rPr>
        <w:t>
      Для реализации комплекса мер по повышению компетенции и квалификации кадровых ресурсов будут проведены обучающие мероприятия для председателей объединений собственников имущества и доверенных лиц простого товарищества.</w:t>
      </w:r>
    </w:p>
    <w:bookmarkEnd w:id="408"/>
    <w:bookmarkStart w:name="z1128" w:id="409"/>
    <w:p>
      <w:pPr>
        <w:spacing w:after="0"/>
        <w:ind w:left="0"/>
        <w:jc w:val="left"/>
      </w:pPr>
      <w:r>
        <w:rPr>
          <w:rFonts w:ascii="Times New Roman"/>
          <w:b/>
          <w:i w:val="false"/>
          <w:color w:val="000000"/>
        </w:rPr>
        <w:t xml:space="preserve"> 6. Целевые индикаторы и ожидаемые результаты</w:t>
      </w:r>
    </w:p>
    <w:bookmarkEnd w:id="409"/>
    <w:bookmarkStart w:name="z1129" w:id="410"/>
    <w:p>
      <w:pPr>
        <w:spacing w:after="0"/>
        <w:ind w:left="0"/>
        <w:jc w:val="both"/>
      </w:pPr>
      <w:r>
        <w:rPr>
          <w:rFonts w:ascii="Times New Roman"/>
          <w:b w:val="false"/>
          <w:i w:val="false"/>
          <w:color w:val="000000"/>
          <w:sz w:val="28"/>
        </w:rPr>
        <w:t>
      Целевой индикатор 1</w:t>
      </w:r>
    </w:p>
    <w:bookmarkEnd w:id="410"/>
    <w:bookmarkStart w:name="z1130" w:id="411"/>
    <w:p>
      <w:pPr>
        <w:spacing w:after="0"/>
        <w:ind w:left="0"/>
        <w:jc w:val="both"/>
      </w:pPr>
      <w:r>
        <w:rPr>
          <w:rFonts w:ascii="Times New Roman"/>
          <w:b w:val="false"/>
          <w:i w:val="false"/>
          <w:color w:val="000000"/>
          <w:sz w:val="28"/>
        </w:rPr>
        <w:t>
      Обеспечение доступа населения к услугам водоснабжения в городах и селах– 100 % к 2025 -2029 годам.</w:t>
      </w:r>
    </w:p>
    <w:bookmarkEnd w:id="411"/>
    <w:bookmarkStart w:name="z1131" w:id="412"/>
    <w:p>
      <w:pPr>
        <w:spacing w:after="0"/>
        <w:ind w:left="0"/>
        <w:jc w:val="both"/>
      </w:pPr>
      <w:r>
        <w:rPr>
          <w:rFonts w:ascii="Times New Roman"/>
          <w:b w:val="false"/>
          <w:i w:val="false"/>
          <w:color w:val="000000"/>
          <w:sz w:val="28"/>
        </w:rPr>
        <w:t>
      Целевой индикатор 2</w:t>
      </w:r>
    </w:p>
    <w:bookmarkEnd w:id="412"/>
    <w:bookmarkStart w:name="z1132" w:id="413"/>
    <w:p>
      <w:pPr>
        <w:spacing w:after="0"/>
        <w:ind w:left="0"/>
        <w:jc w:val="both"/>
      </w:pPr>
      <w:r>
        <w:rPr>
          <w:rFonts w:ascii="Times New Roman"/>
          <w:b w:val="false"/>
          <w:i w:val="false"/>
          <w:color w:val="000000"/>
          <w:sz w:val="28"/>
        </w:rPr>
        <w:t>
      Снижение износа сетей тепло-, водоснабжения и водоотведения с 51 % до 40 % к 2030 году.</w:t>
      </w:r>
    </w:p>
    <w:bookmarkEnd w:id="413"/>
    <w:bookmarkStart w:name="z1133" w:id="414"/>
    <w:p>
      <w:pPr>
        <w:spacing w:after="0"/>
        <w:ind w:left="0"/>
        <w:jc w:val="both"/>
      </w:pPr>
      <w:r>
        <w:rPr>
          <w:rFonts w:ascii="Times New Roman"/>
          <w:b w:val="false"/>
          <w:i w:val="false"/>
          <w:color w:val="000000"/>
          <w:sz w:val="28"/>
        </w:rPr>
        <w:t>
      Целевой индикатор 3</w:t>
      </w:r>
    </w:p>
    <w:bookmarkEnd w:id="414"/>
    <w:bookmarkStart w:name="z1134" w:id="415"/>
    <w:p>
      <w:pPr>
        <w:spacing w:after="0"/>
        <w:ind w:left="0"/>
        <w:jc w:val="both"/>
      </w:pPr>
      <w:r>
        <w:rPr>
          <w:rFonts w:ascii="Times New Roman"/>
          <w:b w:val="false"/>
          <w:i w:val="false"/>
          <w:color w:val="000000"/>
          <w:sz w:val="28"/>
        </w:rPr>
        <w:t>
      Обеспечение уровня очистки сточных вод в городах республиканского и областного значения с 77,7 % до 98,1 % к 2030 году.</w:t>
      </w:r>
    </w:p>
    <w:bookmarkEnd w:id="415"/>
    <w:bookmarkStart w:name="z1135" w:id="416"/>
    <w:p>
      <w:pPr>
        <w:spacing w:after="0"/>
        <w:ind w:left="0"/>
        <w:jc w:val="both"/>
      </w:pPr>
      <w:r>
        <w:rPr>
          <w:rFonts w:ascii="Times New Roman"/>
          <w:b w:val="false"/>
          <w:i w:val="false"/>
          <w:color w:val="000000"/>
          <w:sz w:val="28"/>
        </w:rPr>
        <w:t>
      Целевой индикатор 4</w:t>
      </w:r>
    </w:p>
    <w:bookmarkEnd w:id="416"/>
    <w:bookmarkStart w:name="z1136" w:id="417"/>
    <w:p>
      <w:pPr>
        <w:spacing w:after="0"/>
        <w:ind w:left="0"/>
        <w:jc w:val="both"/>
      </w:pPr>
      <w:r>
        <w:rPr>
          <w:rFonts w:ascii="Times New Roman"/>
          <w:b w:val="false"/>
          <w:i w:val="false"/>
          <w:color w:val="000000"/>
          <w:sz w:val="28"/>
        </w:rPr>
        <w:t>
      Доступность жилья − 0,53 (отношение среднедушевых доходов населения на среднюю стоимость 1 кв. м. (продажа нового жилья (квартиры в многоквартирных домах) к 2030 году.</w:t>
      </w:r>
    </w:p>
    <w:bookmarkEnd w:id="417"/>
    <w:bookmarkStart w:name="z1137" w:id="418"/>
    <w:p>
      <w:pPr>
        <w:spacing w:after="0"/>
        <w:ind w:left="0"/>
        <w:jc w:val="both"/>
      </w:pPr>
      <w:r>
        <w:rPr>
          <w:rFonts w:ascii="Times New Roman"/>
          <w:b w:val="false"/>
          <w:i w:val="false"/>
          <w:color w:val="000000"/>
          <w:sz w:val="28"/>
        </w:rPr>
        <w:t>
      Целевой индикатор 5</w:t>
      </w:r>
    </w:p>
    <w:bookmarkEnd w:id="418"/>
    <w:bookmarkStart w:name="z1138" w:id="419"/>
    <w:p>
      <w:pPr>
        <w:spacing w:after="0"/>
        <w:ind w:left="0"/>
        <w:jc w:val="both"/>
      </w:pPr>
      <w:r>
        <w:rPr>
          <w:rFonts w:ascii="Times New Roman"/>
          <w:b w:val="false"/>
          <w:i w:val="false"/>
          <w:color w:val="000000"/>
          <w:sz w:val="28"/>
        </w:rPr>
        <w:t>
      Снижение доли объектов кондоминиумов, требующих капитального ремонта, с 31,2 % до 28,8 % к 2030 году.</w:t>
      </w:r>
    </w:p>
    <w:bookmarkEnd w:id="419"/>
    <w:bookmarkStart w:name="z1139" w:id="420"/>
    <w:p>
      <w:pPr>
        <w:spacing w:after="0"/>
        <w:ind w:left="0"/>
        <w:jc w:val="both"/>
      </w:pPr>
      <w:r>
        <w:rPr>
          <w:rFonts w:ascii="Times New Roman"/>
          <w:b w:val="false"/>
          <w:i w:val="false"/>
          <w:color w:val="000000"/>
          <w:sz w:val="28"/>
        </w:rPr>
        <w:t>
      Основные ожидаемые результаты по итогам 2029 года:</w:t>
      </w:r>
    </w:p>
    <w:bookmarkEnd w:id="420"/>
    <w:bookmarkStart w:name="z1140" w:id="421"/>
    <w:p>
      <w:pPr>
        <w:spacing w:after="0"/>
        <w:ind w:left="0"/>
        <w:jc w:val="both"/>
      </w:pPr>
      <w:r>
        <w:rPr>
          <w:rFonts w:ascii="Times New Roman"/>
          <w:b w:val="false"/>
          <w:i w:val="false"/>
          <w:color w:val="000000"/>
          <w:sz w:val="28"/>
        </w:rPr>
        <w:t>
      1. Увеличение доли населения, удовлетворенного условиями проживания, от 54,9 % до 60 %.</w:t>
      </w:r>
    </w:p>
    <w:bookmarkEnd w:id="421"/>
    <w:bookmarkStart w:name="z1141" w:id="422"/>
    <w:p>
      <w:pPr>
        <w:spacing w:after="0"/>
        <w:ind w:left="0"/>
        <w:jc w:val="both"/>
      </w:pPr>
      <w:r>
        <w:rPr>
          <w:rFonts w:ascii="Times New Roman"/>
          <w:b w:val="false"/>
          <w:i w:val="false"/>
          <w:color w:val="000000"/>
          <w:sz w:val="28"/>
        </w:rPr>
        <w:t xml:space="preserve">
      2. Увеличение охвата доступом населения к услугам водоснабжения на 2,1 млн человек. </w:t>
      </w:r>
    </w:p>
    <w:bookmarkEnd w:id="422"/>
    <w:bookmarkStart w:name="z1142" w:id="423"/>
    <w:p>
      <w:pPr>
        <w:spacing w:after="0"/>
        <w:ind w:left="0"/>
        <w:jc w:val="both"/>
      </w:pPr>
      <w:r>
        <w:rPr>
          <w:rFonts w:ascii="Times New Roman"/>
          <w:b w:val="false"/>
          <w:i w:val="false"/>
          <w:color w:val="000000"/>
          <w:sz w:val="28"/>
        </w:rPr>
        <w:t>
      3. Снижение потерь тепловой энергии в многоэтажных жилых домах за счет применения энергоэффективных технологий с 57 % до 30 %.</w:t>
      </w:r>
    </w:p>
    <w:bookmarkEnd w:id="423"/>
    <w:bookmarkStart w:name="z1143" w:id="424"/>
    <w:p>
      <w:pPr>
        <w:spacing w:after="0"/>
        <w:ind w:left="0"/>
        <w:jc w:val="both"/>
      </w:pPr>
      <w:r>
        <w:rPr>
          <w:rFonts w:ascii="Times New Roman"/>
          <w:b w:val="false"/>
          <w:i w:val="false"/>
          <w:color w:val="000000"/>
          <w:sz w:val="28"/>
        </w:rPr>
        <w:t>
      4. Прирост объема инвестиций в жилищное строительство на 8 %.</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жилищно-коммунальной</w:t>
            </w:r>
            <w:r>
              <w:br/>
            </w:r>
            <w:r>
              <w:rPr>
                <w:rFonts w:ascii="Times New Roman"/>
                <w:b w:val="false"/>
                <w:i w:val="false"/>
                <w:color w:val="000000"/>
                <w:sz w:val="20"/>
              </w:rPr>
              <w:t>инфраструктуры</w:t>
            </w:r>
            <w:r>
              <w:br/>
            </w:r>
            <w:r>
              <w:rPr>
                <w:rFonts w:ascii="Times New Roman"/>
                <w:b w:val="false"/>
                <w:i w:val="false"/>
                <w:color w:val="000000"/>
                <w:sz w:val="20"/>
              </w:rPr>
              <w:t>на 2023 - 2029 годы</w:t>
            </w:r>
          </w:p>
        </w:tc>
      </w:tr>
    </w:tbl>
    <w:bookmarkStart w:name="z1145" w:id="425"/>
    <w:p>
      <w:pPr>
        <w:spacing w:after="0"/>
        <w:ind w:left="0"/>
        <w:jc w:val="left"/>
      </w:pPr>
      <w:r>
        <w:rPr>
          <w:rFonts w:ascii="Times New Roman"/>
          <w:b/>
          <w:i w:val="false"/>
          <w:color w:val="000000"/>
        </w:rPr>
        <w:t xml:space="preserve"> План</w:t>
      </w:r>
      <w:r>
        <w:br/>
      </w:r>
      <w:r>
        <w:rPr>
          <w:rFonts w:ascii="Times New Roman"/>
          <w:b/>
          <w:i w:val="false"/>
          <w:color w:val="000000"/>
        </w:rPr>
        <w:t>действий по реализации Концепции развития</w:t>
      </w:r>
      <w:r>
        <w:br/>
      </w:r>
      <w:r>
        <w:rPr>
          <w:rFonts w:ascii="Times New Roman"/>
          <w:b/>
          <w:i w:val="false"/>
          <w:color w:val="000000"/>
        </w:rPr>
        <w:t>жилищно-коммунальной инфраструктуры</w:t>
      </w:r>
      <w:r>
        <w:br/>
      </w:r>
      <w:r>
        <w:rPr>
          <w:rFonts w:ascii="Times New Roman"/>
          <w:b/>
          <w:i w:val="false"/>
          <w:color w:val="000000"/>
        </w:rPr>
        <w:t xml:space="preserve">на 2023-2029 годы </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реформ/ основных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w:t>
            </w:r>
          </w:p>
          <w:p>
            <w:pPr>
              <w:spacing w:after="20"/>
              <w:ind w:left="20"/>
              <w:jc w:val="both"/>
            </w:pPr>
          </w:p>
          <w:p>
            <w:pPr>
              <w:spacing w:after="20"/>
              <w:ind w:left="20"/>
              <w:jc w:val="both"/>
            </w:pPr>
            <w:r>
              <w:rPr>
                <w:rFonts w:ascii="Times New Roman"/>
                <w:b/>
                <w:i w:val="false"/>
                <w:color w:val="000000"/>
                <w:sz w:val="20"/>
              </w:rPr>
              <w:t>
исполнители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качества</w:t>
            </w:r>
            <w:r>
              <w:rPr>
                <w:rFonts w:ascii="Times New Roman"/>
                <w:b w:val="false"/>
                <w:i w:val="false"/>
                <w:color w:val="000000"/>
                <w:sz w:val="20"/>
              </w:rPr>
              <w:t xml:space="preserve"> </w:t>
            </w:r>
            <w:r>
              <w:rPr>
                <w:rFonts w:ascii="Times New Roman"/>
                <w:b/>
                <w:i w:val="false"/>
                <w:color w:val="000000"/>
                <w:sz w:val="20"/>
              </w:rPr>
              <w:t>жилищно-коммунальных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путем</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коммунального</w:t>
            </w:r>
            <w:r>
              <w:rPr>
                <w:rFonts w:ascii="Times New Roman"/>
                <w:b w:val="false"/>
                <w:i w:val="false"/>
                <w:color w:val="000000"/>
                <w:sz w:val="20"/>
              </w:rPr>
              <w:t xml:space="preserve"> </w:t>
            </w:r>
            <w:r>
              <w:rPr>
                <w:rFonts w:ascii="Times New Roman"/>
                <w:b/>
                <w:i w:val="false"/>
                <w:color w:val="000000"/>
                <w:sz w:val="20"/>
              </w:rPr>
              <w:t>сектора</w:t>
            </w:r>
          </w:p>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w:t>
            </w:r>
          </w:p>
          <w:p>
            <w:pPr>
              <w:spacing w:after="20"/>
              <w:ind w:left="20"/>
              <w:jc w:val="both"/>
            </w:pPr>
            <w:r>
              <w:rPr>
                <w:rFonts w:ascii="Times New Roman"/>
                <w:b w:val="false"/>
                <w:i w:val="false"/>
                <w:color w:val="000000"/>
                <w:sz w:val="20"/>
              </w:rPr>
              <w:t>
Доступ населения к услугам водоснабжения:</w:t>
            </w:r>
          </w:p>
          <w:p>
            <w:pPr>
              <w:spacing w:after="20"/>
              <w:ind w:left="20"/>
              <w:jc w:val="both"/>
            </w:pPr>
            <w:r>
              <w:rPr>
                <w:rFonts w:ascii="Times New Roman"/>
                <w:b w:val="false"/>
                <w:i w:val="false"/>
                <w:color w:val="000000"/>
                <w:sz w:val="20"/>
              </w:rPr>
              <w:t>
в городах (2023 г. – 99 %, 2024 г. – 99,5 %, 2025-2029 гг. – 100 %)</w:t>
            </w:r>
          </w:p>
          <w:p>
            <w:pPr>
              <w:spacing w:after="20"/>
              <w:ind w:left="20"/>
              <w:jc w:val="both"/>
            </w:pPr>
            <w:r>
              <w:rPr>
                <w:rFonts w:ascii="Times New Roman"/>
                <w:b w:val="false"/>
                <w:i w:val="false"/>
                <w:color w:val="000000"/>
                <w:sz w:val="20"/>
              </w:rPr>
              <w:t>
в селах (2023 г. – 96,3 %, 2024 г. – 98 %, 2025 -2029 гг. – 100 %)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МЭПР, МФ, МНЭ, акиматы областей, городов Астаны, Алматы и Шымкента, СЕМ, АО "КазЦентр ЖКХ" (по согласованию), РГП "Госградкадстр"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Снижение износа сетей тепло-, водоснабжения и водоотведения</w:t>
            </w:r>
          </w:p>
          <w:p>
            <w:pPr>
              <w:spacing w:after="20"/>
              <w:ind w:left="20"/>
              <w:jc w:val="both"/>
            </w:pPr>
            <w:r>
              <w:rPr>
                <w:rFonts w:ascii="Times New Roman"/>
                <w:b w:val="false"/>
                <w:i w:val="false"/>
                <w:color w:val="000000"/>
                <w:sz w:val="20"/>
              </w:rPr>
              <w:t>
(2023 г. – 50 %, 2024 г. – 49 %, 2025 г. – 48 %, 2026 г. – 46 %, 2027 г.– 44 %, 2028 г. – 42 %, 2029 г.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МЭПР, МЭ</w:t>
            </w:r>
          </w:p>
          <w:p>
            <w:pPr>
              <w:spacing w:after="20"/>
              <w:ind w:left="20"/>
              <w:jc w:val="both"/>
            </w:pPr>
            <w:r>
              <w:rPr>
                <w:rFonts w:ascii="Times New Roman"/>
                <w:b w:val="false"/>
                <w:i w:val="false"/>
                <w:color w:val="000000"/>
                <w:sz w:val="20"/>
              </w:rPr>
              <w:t>
МНЭ, акиматы областей, городов Астаны, Алматы и Шымкента, СЕМ, АО КазЦентр ЖКХ"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3.</w:t>
            </w:r>
          </w:p>
          <w:p>
            <w:pPr>
              <w:spacing w:after="20"/>
              <w:ind w:left="20"/>
              <w:jc w:val="both"/>
            </w:pPr>
            <w:r>
              <w:rPr>
                <w:rFonts w:ascii="Times New Roman"/>
                <w:b w:val="false"/>
                <w:i w:val="false"/>
                <w:color w:val="000000"/>
                <w:sz w:val="20"/>
              </w:rPr>
              <w:t>
Уровень очистки сточных вод в городах республиканского и областного значения (2023 г. – 77,7 %, 2024 г. – 79 %, 2025 г. – 84 %, 2026 г. – 85 %, 2027 г. – 92 %, 2028 г. 97 %, 2029 г. – 98,1 %)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МЭПР, МЭ</w:t>
            </w:r>
          </w:p>
          <w:p>
            <w:pPr>
              <w:spacing w:after="20"/>
              <w:ind w:left="20"/>
              <w:jc w:val="both"/>
            </w:pPr>
            <w:r>
              <w:rPr>
                <w:rFonts w:ascii="Times New Roman"/>
                <w:b w:val="false"/>
                <w:i w:val="false"/>
                <w:color w:val="000000"/>
                <w:sz w:val="20"/>
              </w:rPr>
              <w:t>
МНЭ, акиматы областей, городов Астаны, Алматы и Шымкента, СЕМ, АО "КазЦентр ЖКХ"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1. Институциональные меры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совершенствования законодательства по развитию систем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обследования сетей тепло-, водоснабжения и водоотведения для определения фактического износа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технического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p>
            <w:pPr>
              <w:spacing w:after="20"/>
              <w:ind w:left="20"/>
              <w:jc w:val="both"/>
            </w:pPr>
            <w:r>
              <w:rPr>
                <w:rFonts w:ascii="Times New Roman"/>
                <w:b w:val="false"/>
                <w:i w:val="false"/>
                <w:color w:val="000000"/>
                <w:sz w:val="20"/>
              </w:rPr>
              <w:t>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региональных планов строительства, реконструкции и модернизации систем водоснабжения и водоотведения с учетом потребности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планы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течение 2023-2029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региональных планов строительства, реконструкции и модернизации систем теплоснабжения с учетом потребности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p>
            <w:pPr>
              <w:spacing w:after="20"/>
              <w:ind w:left="20"/>
              <w:jc w:val="both"/>
            </w:pPr>
            <w:r>
              <w:rPr>
                <w:rFonts w:ascii="Times New Roman"/>
                <w:b w:val="false"/>
                <w:i w:val="false"/>
                <w:color w:val="000000"/>
                <w:sz w:val="20"/>
              </w:rPr>
              <w:t>
информация в МИИР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2023-2029 годов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Национального центра жилищно-коммунальной инфраструктуры на базе АО "КазЦентр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МЭ, МЭПР, акиматы областей, городов Астана,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сельских населенных пунктов эксплуатирующими предприятиями по водоснабжению и водоотведению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генеральной схемы организации территории Республики Казахстан для наполнения автоматизированной информационной системы государственного градостроительного кадастра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годы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акиматы областей, городов Астаны, Алматы и Шымкента,</w:t>
            </w:r>
          </w:p>
          <w:p>
            <w:pPr>
              <w:spacing w:after="20"/>
              <w:ind w:left="20"/>
              <w:jc w:val="both"/>
            </w:pPr>
            <w:r>
              <w:rPr>
                <w:rFonts w:ascii="Times New Roman"/>
                <w:b w:val="false"/>
                <w:i w:val="false"/>
                <w:color w:val="000000"/>
                <w:sz w:val="20"/>
              </w:rPr>
              <w:t>
РГП "Госградкадстр"</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межрегиональных схем территориального развития регионов и агломераций для наполнения автоматизированной информационной системы государственного градостроительного кадастра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годы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p>
            <w:pPr>
              <w:spacing w:after="20"/>
              <w:ind w:left="20"/>
              <w:jc w:val="both"/>
            </w:pPr>
            <w:r>
              <w:rPr>
                <w:rFonts w:ascii="Times New Roman"/>
                <w:b w:val="false"/>
                <w:i w:val="false"/>
                <w:color w:val="000000"/>
                <w:sz w:val="20"/>
              </w:rPr>
              <w:t>
РГП "Госградкадстр"</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2. Реализация инфраструктурных проектов в рамках бюджетного финансирования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9 тыс. км сетей водоснабжения в городской и сельской местности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МЭПР,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комплексных блок-модулей очистки воды в 963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43 проектов по строительству и реконструкции групповых водоводов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поисково-разведочных работ для определения подземных запасов воды с учетом потребности в системах водоснабжения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январь</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14 тыс. км сетей тепло-, водоснабжения и водоотведения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1225 км ливневых канализаций и арычной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акиматы областей, городов Астаны, Алматы и Шымкента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3. Создание условий для повышения инвестиционной привлекательности за счет финансовых инструментов, тарифной политики и налоговых преференций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68 инфраструктурных проектов по строительству и реконструкции канализационно-очистных сооружений за счет различных механизмов финансирования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акиматы областей, городов Астаны, Алматы и Шымкента, СЕМ,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займов международных финансовых организаций и облигационных займов национальных институтов под государственную гарантию для реализации проектов по строительству и реконструкции 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МНЭ, МФ,</w:t>
            </w:r>
          </w:p>
          <w:p>
            <w:pPr>
              <w:spacing w:after="20"/>
              <w:ind w:left="20"/>
              <w:jc w:val="both"/>
            </w:pPr>
            <w:r>
              <w:rPr>
                <w:rFonts w:ascii="Times New Roman"/>
                <w:b w:val="false"/>
                <w:i w:val="false"/>
                <w:color w:val="000000"/>
                <w:sz w:val="20"/>
              </w:rPr>
              <w:t>
АО "КазЦентр ЖКХ"</w:t>
            </w:r>
          </w:p>
          <w:p>
            <w:pPr>
              <w:spacing w:after="20"/>
              <w:ind w:left="20"/>
              <w:jc w:val="both"/>
            </w:pPr>
            <w:r>
              <w:rPr>
                <w:rFonts w:ascii="Times New Roman"/>
                <w:b w:val="false"/>
                <w:i w:val="false"/>
                <w:color w:val="000000"/>
                <w:sz w:val="20"/>
              </w:rPr>
              <w:t>
(по согласованию),</w:t>
            </w:r>
          </w:p>
          <w:p>
            <w:pPr>
              <w:spacing w:after="20"/>
              <w:ind w:left="20"/>
              <w:jc w:val="both"/>
            </w:pPr>
            <w:r>
              <w:rPr>
                <w:rFonts w:ascii="Times New Roman"/>
                <w:b w:val="false"/>
                <w:i w:val="false"/>
                <w:color w:val="000000"/>
                <w:sz w:val="20"/>
              </w:rPr>
              <w:t>
СЕМ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нового механизма субсидирования затрат по обслуживанию и погашению займов из других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p>
            <w:pPr>
              <w:spacing w:after="20"/>
              <w:ind w:left="20"/>
              <w:jc w:val="both"/>
            </w:pPr>
            <w:r>
              <w:rPr>
                <w:rFonts w:ascii="Times New Roman"/>
                <w:b w:val="false"/>
                <w:i w:val="false"/>
                <w:color w:val="000000"/>
                <w:sz w:val="20"/>
              </w:rPr>
              <w:t>
2024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акиматы областей, городов Астаны, Алматы и Шымкента, СЕМ,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4. Внедрение новых технологий и цифровизация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научно-исследовательских работ в сфере сейсмостойкого строительства с совершенствованием научно-технической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
научно-технического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тепло-, водоснабжения, водоотведения и очистных сооружений, электрических сетей с интеграцией в информационную систему централизованного сбора и хранения электронных информационных ресурсов в сфере жилищных отношений и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МЭПР, МЭ,</w:t>
            </w:r>
          </w:p>
          <w:p>
            <w:pPr>
              <w:spacing w:after="20"/>
              <w:ind w:left="20"/>
              <w:jc w:val="both"/>
            </w:pPr>
            <w:r>
              <w:rPr>
                <w:rFonts w:ascii="Times New Roman"/>
                <w:b w:val="false"/>
                <w:i w:val="false"/>
                <w:color w:val="000000"/>
                <w:sz w:val="20"/>
              </w:rPr>
              <w:t>
акиматы областей,</w:t>
            </w:r>
          </w:p>
          <w:p>
            <w:pPr>
              <w:spacing w:after="20"/>
              <w:ind w:left="20"/>
              <w:jc w:val="both"/>
            </w:pPr>
            <w:r>
              <w:rPr>
                <w:rFonts w:ascii="Times New Roman"/>
                <w:b w:val="false"/>
                <w:i w:val="false"/>
                <w:color w:val="000000"/>
                <w:sz w:val="20"/>
              </w:rPr>
              <w:t>
городов Астаны, Алматы и Шымкента, СЕМ,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18706 общедомовых приборов учета тепла и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течение 2023-2029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p>
            <w:pPr>
              <w:spacing w:after="20"/>
              <w:ind w:left="20"/>
              <w:jc w:val="both"/>
            </w:pPr>
            <w:r>
              <w:rPr>
                <w:rFonts w:ascii="Times New Roman"/>
                <w:b w:val="false"/>
                <w:i w:val="false"/>
                <w:color w:val="000000"/>
                <w:sz w:val="20"/>
              </w:rPr>
              <w:t>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профессиональных стандартов отрасли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приказы МИИР, МЭПР,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 МЭПР, МНЭ, АО "КазЦентрЖКХ"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227 тыс.га застроенных территорий населенных пунктов в целях наполнения государственного градостроительного кадастра (2023 г. – 83,1 га, 2024 г. – 60,2 га, 2025 г. – 17,4 га, 2026 г. – 17,4 га, 2027г . – 15,9 га, 2028 г. – 17,2 га, 2029 г. – 15,8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база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 РГП "Госградкадстр"</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сопровождение автоматизированной информационной системы государственного градостроительного кадастра (внедрение новых модулей, реализация аналитических возможностей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2024-2029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p>
            <w:pPr>
              <w:spacing w:after="20"/>
              <w:ind w:left="20"/>
              <w:jc w:val="both"/>
            </w:pPr>
            <w:r>
              <w:rPr>
                <w:rFonts w:ascii="Times New Roman"/>
                <w:b w:val="false"/>
                <w:i w:val="false"/>
                <w:color w:val="000000"/>
                <w:sz w:val="20"/>
              </w:rPr>
              <w:t>
РГП "Госградкадстр"</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2. Повышение доступности жилья для широких слоев населения за счет развития жилищной инфраструктуры</w:t>
            </w:r>
          </w:p>
          <w:p>
            <w:pPr>
              <w:spacing w:after="20"/>
              <w:ind w:left="20"/>
              <w:jc w:val="both"/>
            </w:pPr>
          </w:p>
          <w:p>
            <w:pPr>
              <w:spacing w:after="20"/>
              <w:ind w:left="20"/>
              <w:jc w:val="both"/>
            </w:pPr>
            <w:r>
              <w:rPr>
                <w:rFonts w:ascii="Times New Roman"/>
                <w:b/>
                <w:i w:val="false"/>
                <w:color w:val="000000"/>
                <w:sz w:val="20"/>
              </w:rPr>
              <w:t>
Целевой индикатор 4.</w:t>
            </w:r>
          </w:p>
          <w:p>
            <w:pPr>
              <w:spacing w:after="20"/>
              <w:ind w:left="20"/>
              <w:jc w:val="both"/>
            </w:pPr>
            <w:r>
              <w:rPr>
                <w:rFonts w:ascii="Times New Roman"/>
                <w:b/>
                <w:i w:val="false"/>
                <w:color w:val="000000"/>
                <w:sz w:val="20"/>
              </w:rPr>
              <w:t>
Доступность жилья по республике (2023 г. – 0,39, 2024 г. – 0,41, 2025 г. – 0,44, 2026 г. – 0,47, 2027 г. – 0,49, 2028 г. – 0,51, 2029 г. – 0,53)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МТСЗН, МЭ, МСХ, МИОР, акиматы областей, городов Астаны, Алматы и Шымкента, АО "НУХ "Байтерек" (по согласованию), АО "Отбасы банк", (по согласованию), АО "КЖК" (по согласованию),</w:t>
            </w:r>
          </w:p>
          <w:p>
            <w:pPr>
              <w:spacing w:after="20"/>
              <w:ind w:left="20"/>
              <w:jc w:val="both"/>
            </w:pPr>
            <w:r>
              <w:rPr>
                <w:rFonts w:ascii="Times New Roman"/>
                <w:b w:val="false"/>
                <w:i w:val="false"/>
                <w:color w:val="000000"/>
                <w:sz w:val="20"/>
              </w:rPr>
              <w:t>
РГП "Госградкадастр"(по согласованию), АО "КазНИИСА" (по согласованию), РГП "Госэкспертиза"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Целевой индикатор 5.</w:t>
            </w:r>
          </w:p>
          <w:p>
            <w:pPr>
              <w:spacing w:after="20"/>
              <w:ind w:left="20"/>
              <w:jc w:val="both"/>
            </w:pPr>
          </w:p>
          <w:p>
            <w:pPr>
              <w:spacing w:after="20"/>
              <w:ind w:left="20"/>
              <w:jc w:val="both"/>
            </w:pPr>
            <w:r>
              <w:rPr>
                <w:rFonts w:ascii="Times New Roman"/>
                <w:b/>
                <w:i w:val="false"/>
                <w:color w:val="000000"/>
                <w:sz w:val="20"/>
              </w:rPr>
              <w:t>
Доля объектов кондоминиумов, требующих капитального ремонта (2023 г. – 31,2 %, 2024 г. – 30,8 %, 2025 г. – 30,3 %, 2026 г. – 30 %, 2027 г. – 29,6 %, 2028 г. – 29,2 %, 2029 г. – 28,8 %)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Шымкента,АО "КазЦентрЖКХ" (по согласованию), АО "КазНИИСА"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5. Привлечение частных инвестиций в жилищное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111 млн кв. метров жилья по всем источникам финансирования (2023 г. – 15,3, 2024 г. – 15,5, 2025 г. – 15,7, 2026 г. – 15,9, 2027 г. – 16,1, 2028 г. – 16,3, 2029 г. –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генеральных планов и проектов детальной планировки населенных пунктов с учетом развития жилищной, социальной и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региональных планов жилищного строительства на основе градостроительных документов с учетом экономического потенциала населенных пунктов, численности граждан, определенных требованиями жилищногои земельного законодательства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МИО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строящимся в новых районах жилой застройки жилым объектам частных застройщиков с мониторингом исполнения встречных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МСХ, акиматы областей, городов Астаны, Алматы и Шымкента,</w:t>
            </w:r>
          </w:p>
          <w:p>
            <w:pPr>
              <w:spacing w:after="20"/>
              <w:ind w:left="20"/>
              <w:jc w:val="both"/>
            </w:pPr>
            <w:r>
              <w:rPr>
                <w:rFonts w:ascii="Times New Roman"/>
                <w:b w:val="false"/>
                <w:i w:val="false"/>
                <w:color w:val="000000"/>
                <w:sz w:val="20"/>
              </w:rPr>
              <w:t>
АО "КЖК"</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модуля ситуационного центра "Нұрлы жер" для мониторинга проектов МИО по подведению инженерной инфраструктуры к жилым объектам частных застройщиков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 АО "КЖК"</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земельным участкам, предоставляемых гражданам для строительства индивидуального жилого дома (ежегодно по 40 тыс.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МСХ,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строительства индивидуальных жилых домов для граждан, стоящих в очереди на земельные участки и получение жилья, согласно требованиям жилищного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АО "КЖК" (по согласованию),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субсидирования затрат работодателей, построивших в сельском населенном пункте жилища для своих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 МНЭ, МСХ,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сельских населенных пунктов, в которых работодатели планируют строительство жилья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затрат работодателей, построивших арендное жилище в селе, поселке, сельском округе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МНЭ, МСХ,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ставки вознаграждения по кредитам частных застройщиков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"КЖК"</w:t>
            </w:r>
          </w:p>
          <w:p>
            <w:pPr>
              <w:spacing w:after="20"/>
              <w:ind w:left="20"/>
              <w:jc w:val="both"/>
            </w:pPr>
            <w:r>
              <w:rPr>
                <w:rFonts w:ascii="Times New Roman"/>
                <w:b w:val="false"/>
                <w:i w:val="false"/>
                <w:color w:val="000000"/>
                <w:sz w:val="20"/>
              </w:rPr>
              <w:t>
(по согласованию), НПП (по согласованию),</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МНЭ, МСХ,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условий проектного финансирования инвестиционных проектов частных застройщиков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"КЖК"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реализации проектов арендного жилья по принципу ГЧП за счет объектов, находящихся на балансе местных исполнительных органах и переданных в аренду без прав выкупа граждан, стоящих в очереди на получение жилья, по требованиям жилищного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АО "КЖК"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развитию строительной индустрии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загрузки домостроительных комбинатов заказами на реализацию жилищных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Продвижение онлайн - платформы строительных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"КЖК"</w:t>
            </w:r>
          </w:p>
          <w:p>
            <w:pPr>
              <w:spacing w:after="20"/>
              <w:ind w:left="20"/>
              <w:jc w:val="both"/>
            </w:pPr>
            <w:r>
              <w:rPr>
                <w:rFonts w:ascii="Times New Roman"/>
                <w:b w:val="false"/>
                <w:i w:val="false"/>
                <w:color w:val="000000"/>
                <w:sz w:val="20"/>
              </w:rPr>
              <w:t>
(по согласованию),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критериев и внедрения технологии информационного моделирования строительных объектов (ТИМСО) при проектировании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p>
            <w:pPr>
              <w:spacing w:after="20"/>
              <w:ind w:left="20"/>
              <w:jc w:val="both"/>
            </w:pPr>
            <w:r>
              <w:rPr>
                <w:rFonts w:ascii="Times New Roman"/>
                <w:b w:val="false"/>
                <w:i w:val="false"/>
                <w:color w:val="000000"/>
                <w:sz w:val="20"/>
              </w:rPr>
              <w:t>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МФ,МНЭ, МТСЗН,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переработка сметно-нормативных документов в сфере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КДСЖКХ</w:t>
            </w:r>
          </w:p>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"КазНИИСА" (по согласованию),</w:t>
            </w:r>
          </w:p>
          <w:p>
            <w:pPr>
              <w:spacing w:after="20"/>
              <w:ind w:left="20"/>
              <w:jc w:val="both"/>
            </w:pPr>
            <w:r>
              <w:rPr>
                <w:rFonts w:ascii="Times New Roman"/>
                <w:b w:val="false"/>
                <w:i w:val="false"/>
                <w:color w:val="000000"/>
                <w:sz w:val="20"/>
              </w:rPr>
              <w:t>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"Е-QURYLYS" с необходимыми информационными системами, связанных со строительной отраслью и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применения данных единого государственного банка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"Градэкспертиза"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предложений по созданию единого центра градостроительного планирования, нормирования и экспертизы для обеспечения системной и скоординированной работы в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РГП "Госградкадстр" (по согласованию), АО "КазНИИСА" (по согласованию),</w:t>
            </w:r>
          </w:p>
          <w:p>
            <w:pPr>
              <w:spacing w:after="20"/>
              <w:ind w:left="20"/>
              <w:jc w:val="both"/>
            </w:pPr>
            <w:r>
              <w:rPr>
                <w:rFonts w:ascii="Times New Roman"/>
                <w:b w:val="false"/>
                <w:i w:val="false"/>
                <w:color w:val="000000"/>
                <w:sz w:val="20"/>
              </w:rPr>
              <w:t>
РГП "Госэкспертиза"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мер с визуализацией результатов в информационной системе ситуационного центра "Нұрлы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"КЖК" (по согласованию), акиматы областей, городов Астаны, Алматы и Шымкента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6. Обеспечение жильем категорий граждан, определенных жилищным законодательством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инвентаризации списочной численности граждан, определенных жилищным законодательством, поставленных на учет с целью приведения в соответствие с действующим законодательством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жилищной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p>
            <w:pPr>
              <w:spacing w:after="20"/>
              <w:ind w:left="20"/>
              <w:jc w:val="both"/>
            </w:pPr>
            <w:r>
              <w:rPr>
                <w:rFonts w:ascii="Times New Roman"/>
                <w:b w:val="false"/>
                <w:i w:val="false"/>
                <w:color w:val="000000"/>
                <w:sz w:val="20"/>
              </w:rPr>
              <w:t>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акиматы областей, городов Астаны, Алматы и Шымкента,</w:t>
            </w:r>
          </w:p>
          <w:p>
            <w:pPr>
              <w:spacing w:after="20"/>
              <w:ind w:left="20"/>
              <w:jc w:val="both"/>
            </w:pPr>
            <w:r>
              <w:rPr>
                <w:rFonts w:ascii="Times New Roman"/>
                <w:b w:val="false"/>
                <w:i w:val="false"/>
                <w:color w:val="000000"/>
                <w:sz w:val="20"/>
              </w:rPr>
              <w:t>
АО "Отбасы банк"</w:t>
            </w:r>
          </w:p>
          <w:p>
            <w:pPr>
              <w:spacing w:after="20"/>
              <w:ind w:left="20"/>
              <w:jc w:val="both"/>
            </w:pPr>
            <w:r>
              <w:rPr>
                <w:rFonts w:ascii="Times New Roman"/>
                <w:b w:val="false"/>
                <w:i w:val="false"/>
                <w:color w:val="000000"/>
                <w:sz w:val="20"/>
              </w:rPr>
              <w:t>
(по согласованию),</w:t>
            </w:r>
          </w:p>
          <w:p>
            <w:pPr>
              <w:spacing w:after="20"/>
              <w:ind w:left="20"/>
              <w:jc w:val="both"/>
            </w:pPr>
            <w:r>
              <w:rPr>
                <w:rFonts w:ascii="Times New Roman"/>
                <w:b w:val="false"/>
                <w:i w:val="false"/>
                <w:color w:val="000000"/>
                <w:sz w:val="20"/>
              </w:rPr>
              <w:t>
АО "НУХ "Байтерек"</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отдельным категориям граждан социально-уязвимых категорий, определенных жилищным законодательством, жилищных выплат для аренды жилья в частном жилищном фонде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аренды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 портале otbasybank.kz модуля с базой арендодателей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планов строительства (приобретения) жилья социального назначения для аренды без права выкупа с учетом территориальных данных о численности граждан, определенных жилищным законодательством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w:t>
            </w:r>
          </w:p>
          <w:p>
            <w:pPr>
              <w:spacing w:after="20"/>
              <w:ind w:left="20"/>
              <w:jc w:val="both"/>
            </w:pPr>
            <w:r>
              <w:rPr>
                <w:rFonts w:ascii="Times New Roman"/>
                <w:b w:val="false"/>
                <w:i w:val="false"/>
                <w:color w:val="000000"/>
                <w:sz w:val="20"/>
              </w:rPr>
              <w:t>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(приобретение) жилья социального назначения для предоставления в аренду без права выкупа гражданам социально-уязвимых категорий, определенных жилищным законодательством (70703 арендные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p>
            <w:pPr>
              <w:spacing w:after="20"/>
              <w:ind w:left="20"/>
              <w:jc w:val="both"/>
            </w:pPr>
            <w:r>
              <w:rPr>
                <w:rFonts w:ascii="Times New Roman"/>
                <w:b w:val="false"/>
                <w:i w:val="false"/>
                <w:color w:val="000000"/>
                <w:sz w:val="20"/>
              </w:rPr>
              <w:t>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планов строительства (приобретения) жилья социального назначения за счет государственных ценных бумаг и передачи пообъектной информации о реализуемом жилье АО "Отбасы банк" с учетом территориальных данных о численности очередников, определенных жилищным законодательством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p>
            <w:pPr>
              <w:spacing w:after="20"/>
              <w:ind w:left="20"/>
              <w:jc w:val="both"/>
            </w:pPr>
            <w:r>
              <w:rPr>
                <w:rFonts w:ascii="Times New Roman"/>
                <w:b w:val="false"/>
                <w:i w:val="false"/>
                <w:color w:val="000000"/>
                <w:sz w:val="20"/>
              </w:rPr>
              <w:t>
АО "КЖК" (по согласованию),</w:t>
            </w:r>
          </w:p>
          <w:p>
            <w:pPr>
              <w:spacing w:after="20"/>
              <w:ind w:left="20"/>
              <w:jc w:val="both"/>
            </w:pPr>
            <w:r>
              <w:rPr>
                <w:rFonts w:ascii="Times New Roman"/>
                <w:b w:val="false"/>
                <w:i w:val="false"/>
                <w:color w:val="000000"/>
                <w:sz w:val="20"/>
              </w:rPr>
              <w:t>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АО "Отбасы банк" предварительных и промежуточных жилищных займов по ставкам 2 %-5 % для приобретения жилья социального назначения местных исполнительных органов (42548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w:t>
            </w:r>
          </w:p>
          <w:p>
            <w:pPr>
              <w:spacing w:after="20"/>
              <w:ind w:left="20"/>
              <w:jc w:val="both"/>
            </w:pPr>
            <w:r>
              <w:rPr>
                <w:rFonts w:ascii="Times New Roman"/>
                <w:b w:val="false"/>
                <w:i w:val="false"/>
                <w:color w:val="000000"/>
                <w:sz w:val="20"/>
              </w:rPr>
              <w:t>
акиматы областей, городов Астаны, Алматы и Шымкента,</w:t>
            </w:r>
          </w:p>
          <w:p>
            <w:pPr>
              <w:spacing w:after="20"/>
              <w:ind w:left="20"/>
              <w:jc w:val="both"/>
            </w:pPr>
            <w:r>
              <w:rPr>
                <w:rFonts w:ascii="Times New Roman"/>
                <w:b w:val="false"/>
                <w:i w:val="false"/>
                <w:color w:val="000000"/>
                <w:sz w:val="20"/>
              </w:rPr>
              <w:t>
АО "Отбасы банк"</w:t>
            </w:r>
          </w:p>
          <w:p>
            <w:pPr>
              <w:spacing w:after="20"/>
              <w:ind w:left="20"/>
              <w:jc w:val="both"/>
            </w:pPr>
            <w:r>
              <w:rPr>
                <w:rFonts w:ascii="Times New Roman"/>
                <w:b w:val="false"/>
                <w:i w:val="false"/>
                <w:color w:val="000000"/>
                <w:sz w:val="20"/>
              </w:rPr>
              <w:t>
(по согласованию),</w:t>
            </w:r>
          </w:p>
          <w:p>
            <w:pPr>
              <w:spacing w:after="20"/>
              <w:ind w:left="20"/>
              <w:jc w:val="both"/>
            </w:pPr>
            <w:r>
              <w:rPr>
                <w:rFonts w:ascii="Times New Roman"/>
                <w:b w:val="false"/>
                <w:i w:val="false"/>
                <w:color w:val="000000"/>
                <w:sz w:val="20"/>
              </w:rPr>
              <w:t>
АО "НУХ "Байтерек"</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предоставлению местным исполнительным органам права приобретения за счет государственных ценных бумаг готового первичного жилья и в строящихся объектах долевого строительства, обеспеченных гарантией АО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w:t>
            </w:r>
          </w:p>
          <w:p>
            <w:pPr>
              <w:spacing w:after="20"/>
              <w:ind w:left="20"/>
              <w:jc w:val="both"/>
            </w:pPr>
            <w:r>
              <w:rPr>
                <w:rFonts w:ascii="Times New Roman"/>
                <w:b w:val="false"/>
                <w:i w:val="false"/>
                <w:color w:val="000000"/>
                <w:sz w:val="20"/>
              </w:rPr>
              <w:t>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акиматы областей, городов Астаны, Алматы и Шымкента,</w:t>
            </w:r>
          </w:p>
          <w:p>
            <w:pPr>
              <w:spacing w:after="20"/>
              <w:ind w:left="20"/>
              <w:jc w:val="both"/>
            </w:pPr>
            <w:r>
              <w:rPr>
                <w:rFonts w:ascii="Times New Roman"/>
                <w:b w:val="false"/>
                <w:i w:val="false"/>
                <w:color w:val="000000"/>
                <w:sz w:val="20"/>
              </w:rPr>
              <w:t>
АО "Отбасы банк"</w:t>
            </w:r>
          </w:p>
          <w:p>
            <w:pPr>
              <w:spacing w:after="20"/>
              <w:ind w:left="20"/>
              <w:jc w:val="both"/>
            </w:pPr>
            <w:r>
              <w:rPr>
                <w:rFonts w:ascii="Times New Roman"/>
                <w:b w:val="false"/>
                <w:i w:val="false"/>
                <w:color w:val="000000"/>
                <w:sz w:val="20"/>
              </w:rPr>
              <w:t>
(по согласованию),</w:t>
            </w:r>
          </w:p>
          <w:p>
            <w:pPr>
              <w:spacing w:after="20"/>
              <w:ind w:left="20"/>
              <w:jc w:val="both"/>
            </w:pPr>
            <w:r>
              <w:rPr>
                <w:rFonts w:ascii="Times New Roman"/>
                <w:b w:val="false"/>
                <w:i w:val="false"/>
                <w:color w:val="000000"/>
                <w:sz w:val="20"/>
              </w:rPr>
              <w:t>
АО "НУХ "Байтерек"</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7. Развитие ипотечного жилищного кредитования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ставки вознаграждения по ипотечным жилищным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АО "КЖК" (по согласованию), НПП (по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НПП (по согласованию),</w:t>
            </w:r>
          </w:p>
          <w:p>
            <w:pPr>
              <w:spacing w:after="20"/>
              <w:ind w:left="20"/>
              <w:jc w:val="both"/>
            </w:pPr>
            <w:r>
              <w:rPr>
                <w:rFonts w:ascii="Times New Roman"/>
                <w:b w:val="false"/>
                <w:i w:val="false"/>
                <w:color w:val="000000"/>
                <w:sz w:val="20"/>
              </w:rPr>
              <w:t>
АО "НУХ "Байтерек"</w:t>
            </w:r>
          </w:p>
          <w:p>
            <w:pPr>
              <w:spacing w:after="20"/>
              <w:ind w:left="20"/>
              <w:jc w:val="both"/>
            </w:pPr>
            <w:r>
              <w:rPr>
                <w:rFonts w:ascii="Times New Roman"/>
                <w:b w:val="false"/>
                <w:i w:val="false"/>
                <w:color w:val="000000"/>
                <w:sz w:val="20"/>
              </w:rPr>
              <w:t>
(по согласованию),</w:t>
            </w:r>
          </w:p>
          <w:p>
            <w:pPr>
              <w:spacing w:after="20"/>
              <w:ind w:left="20"/>
              <w:jc w:val="both"/>
            </w:pPr>
            <w:r>
              <w:rPr>
                <w:rFonts w:ascii="Times New Roman"/>
                <w:b w:val="false"/>
                <w:i w:val="false"/>
                <w:color w:val="000000"/>
                <w:sz w:val="20"/>
              </w:rPr>
              <w:t>
АО "КЖК"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объема финансирования реализации ипотечных программ для молодых граждан по ставке не более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АО "Отбасы банк"(по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объема финансирования реализации ипотечных программ для жителей моногородов молодых граждан по ставке не более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Астана, Алматы и Шымкента,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объема финансирования для предоставления жилищных сертификатов на покрытие части первоначального взноса по ипотечным жилищным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об увеличении числа граждан, имеющих право на жилищные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предоставления жилищных сертификатов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8. Обеспечение защиты долевых вкладов в жилищное строительство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строящихся жилых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44 проблемных объекта с долевым участием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единой информационной системы долевого участия в сфере жилищного строительства "Казреестр"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"КЖК"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о долевом участии в жилищном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p>
            <w:pPr>
              <w:spacing w:after="20"/>
              <w:ind w:left="20"/>
              <w:jc w:val="both"/>
            </w:pPr>
            <w:r>
              <w:rPr>
                <w:rFonts w:ascii="Times New Roman"/>
                <w:b w:val="false"/>
                <w:i w:val="false"/>
                <w:color w:val="000000"/>
                <w:sz w:val="20"/>
              </w:rPr>
              <w:t>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"КЖК" (по согласованию), акиматы областей, городов Астаны, Алматы и Шымкента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9. Обновление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и принятие программ реноваций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w:t>
            </w:r>
          </w:p>
          <w:p>
            <w:pPr>
              <w:spacing w:after="20"/>
              <w:ind w:left="20"/>
              <w:jc w:val="both"/>
            </w:pPr>
            <w:r>
              <w:rPr>
                <w:rFonts w:ascii="Times New Roman"/>
                <w:b w:val="false"/>
                <w:i w:val="false"/>
                <w:color w:val="000000"/>
                <w:sz w:val="20"/>
              </w:rPr>
              <w:t>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сноса 1500 аварийных и ветхих домов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о совместной реализации проектов по программам реновации жилого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"КЖК"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с элементами термомодернизации 1273 многоэтажных жилых домов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Инвентаризация жилищного фонда в целях наполнения системы централизованного сбора и хранения электронных информационных ресурсов в сфере жилищных отношений и жилищно-коммунального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паспортизированных МЖД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обучающих курсов для председателей объединения собственников имущества и доверенных лиц простого товарищества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2023 – 2029</w:t>
            </w:r>
          </w:p>
          <w:p>
            <w:pPr>
              <w:spacing w:after="20"/>
              <w:ind w:left="20"/>
              <w:jc w:val="both"/>
            </w:pPr>
            <w:r>
              <w:rPr>
                <w:rFonts w:ascii="Times New Roman"/>
                <w:b w:val="false"/>
                <w:i w:val="false"/>
                <w:color w:val="000000"/>
                <w:sz w:val="20"/>
              </w:rPr>
              <w:t>
годов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p>
            <w:pPr>
              <w:spacing w:after="20"/>
              <w:ind w:left="20"/>
              <w:jc w:val="both"/>
            </w:pPr>
            <w:r>
              <w:rPr>
                <w:rFonts w:ascii="Times New Roman"/>
                <w:b w:val="false"/>
                <w:i w:val="false"/>
                <w:color w:val="000000"/>
                <w:sz w:val="20"/>
              </w:rPr>
              <w:t>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энергосбережению и повышению энергоэффективности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p>
            <w:pPr>
              <w:spacing w:after="20"/>
              <w:ind w:left="20"/>
              <w:jc w:val="both"/>
            </w:pPr>
            <w:r>
              <w:rPr>
                <w:rFonts w:ascii="Times New Roman"/>
                <w:b w:val="false"/>
                <w:i w:val="false"/>
                <w:color w:val="000000"/>
                <w:sz w:val="20"/>
              </w:rPr>
              <w:t>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научно-исследовательских работ с целью разработки энергоэффективных материалов и технологий, программно-аппаратных комплексов по передаче данных для снижения стоимости коммунальных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научно-технического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течение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механизма назначения жилищной помощи малообеспеченным гражданам для оплаты коммунальных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"КазЦентрЖКХ"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функций жилищных инспекций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акиматы областей, городов Астаны, Алматы и Шымкента, АО "КазЦентрЖКХ"</w:t>
            </w:r>
          </w:p>
          <w:p>
            <w:pPr>
              <w:spacing w:after="20"/>
              <w:ind w:left="20"/>
              <w:jc w:val="both"/>
            </w:pPr>
            <w:r>
              <w:rPr>
                <w:rFonts w:ascii="Times New Roman"/>
                <w:b w:val="false"/>
                <w:i w:val="false"/>
                <w:color w:val="000000"/>
                <w:sz w:val="20"/>
              </w:rPr>
              <w:t>
(по согласованию)</w:t>
            </w:r>
          </w:p>
        </w:tc>
      </w:tr>
    </w:tbl>
    <w:bookmarkStart w:name="z1146" w:id="4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4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канализационно-очистные сооружения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"Казахский научно-исследовательский и проектный институт строительства и архитектуры"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"КЖК"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"Казахстанская жилищная компания"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государственно-частное партнерство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"Госградкадастр"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"Республиканский центр государственного градостроительного планирования и кадастра"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"Госэкспертиза"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"Государственная в вневедомственная экспертиза"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"Отбасы банк"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"Отбасы банк"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жилищно-коммунального хозяйства"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естественных монополий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сентября 2022 года № 736</w:t>
            </w:r>
          </w:p>
        </w:tc>
      </w:tr>
    </w:tbl>
    <w:bookmarkStart w:name="z723" w:id="427"/>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427"/>
    <w:bookmarkStart w:name="z724" w:id="4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2019 года № 1054 "Об утверждении Государственной программы жилищно-коммунального развития "Нұрлы жер" на 2020-2025 годы".</w:t>
      </w:r>
    </w:p>
    <w:bookmarkEnd w:id="428"/>
    <w:bookmarkStart w:name="z725" w:id="4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июня 2020 года № 357 "О внесении 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w:t>
      </w:r>
    </w:p>
    <w:bookmarkEnd w:id="429"/>
    <w:bookmarkStart w:name="z726" w:id="4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августа 2020 года № 520 "О внесении 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w:t>
      </w:r>
    </w:p>
    <w:bookmarkEnd w:id="430"/>
    <w:bookmarkStart w:name="z727" w:id="4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2020 года № 849 "О внесении 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w:t>
      </w:r>
    </w:p>
    <w:bookmarkEnd w:id="4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