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ca5d" w14:textId="870c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18 февраля 2017 года № 81 "Некоторые вопросы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2022 года № 985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"197) участие в пределах своей компетенции в реализации государственной политики по обеспечению соблюдения принципов равных возможностей, толерантности и недопущения ущемления прав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жительства, а также предупреждению возникновения межэтнической и иной любой дискриминации в социально-трудовых отношениях;";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206-1)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"206-1) анализ и выявление системных проблем, поднимаемых заявителями, и принятие мер по их устранению;".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