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36d" w14:textId="a2c4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"Алтын сапа"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лица/индивидуального предпринимателя)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и составляющие критериев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 в баллах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Самооценка в баллах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организатора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выезда на предприятия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целеполагание (1.1-2.4)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Цель, видение и стратегия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Определение цели и видения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Определение и понимание потребностей заинтересованных сторон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Понимание экосистемы, собственных возможностей и основных вызовов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Разработка стратегии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Разработка и внедрение системы менеджмента и управления результативностью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Организационная культура и 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Управление культурой и создание ценностей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Создание условий для реализации изменений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Внедрение творчества и инноваций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Объединение людей и вовлечение их в процесс достижения цели, видения и стратегии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действия (3.1-5.5)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Вовлечение заинтересованных сторон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Потребители: построение устойчивых взаимоотношений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Люди: подбор, вовлечение, развитие и удержание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Заинтересованные стороны в бизнесе и органах власти: надежная и постоянная поддержка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Общество: содействие развитию, благополучию и процветанию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Партнеры и поставщики: выстраивание взаимовыгодных отношений и обеспечение их поддержки для создания устойчивой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устойчивой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Разработка ценностей и методы их создания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Коммуникации и продвижение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Создание ценностей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Выявление и использование лучших практик в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Управление результативностью и трансформацией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Управление результативностью и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Трансформация и создание организации будущего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Управление инновациями и технологиями замкнутого цикла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Управление данными, информацией и знаниями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Управление активами 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результаты (6-7)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восприятия заинтересованных сторон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Стратегические и операционные результаты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Выводы:____________________________________________________________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Предложения:_______________________________________________________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______________г. _________________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председателя экспертной группы)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*Организации следует самой установить весомость составляющих до начала оценивания. Каждая составляющая может иметь весомость от 10 до 40 баллов. Весомость устанавливается с округлением до 5 баллов. Общая сумма составляющих по критерию должна составлять 100 баллов.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