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284f" w14:textId="cfe2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социально-экономического развития города Серебрянска Восточно-Казахстанской области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2023 года № 738.</w:t>
      </w:r>
    </w:p>
    <w:p>
      <w:pPr>
        <w:spacing w:after="0"/>
        <w:ind w:left="0"/>
        <w:jc w:val="both"/>
      </w:pPr>
      <w:bookmarkStart w:name="z1" w:id="0"/>
      <w:r>
        <w:rPr>
          <w:rFonts w:ascii="Times New Roman"/>
          <w:b w:val="false"/>
          <w:i w:val="false"/>
          <w:color w:val="000000"/>
          <w:sz w:val="28"/>
        </w:rPr>
        <w:t>
      В целях улучшения социально-экономического развития города Серебрянска Восточно-Казахстанской области Правительство Республики Казахстан</w:t>
      </w:r>
      <w:r>
        <w:rPr>
          <w:rFonts w:ascii="Times New Roman"/>
          <w:b/>
          <w:i w:val="false"/>
          <w:color w:val="000000"/>
          <w:sz w:val="28"/>
        </w:rPr>
        <w:t xml:space="preserve"> ПОСТАНОВЛЯЕТ</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социально-экономического развития города Серебрянска Восточно-Казахстанской области на 2023 – 2027 годы (далее – План).</w:t>
      </w:r>
    </w:p>
    <w:bookmarkEnd w:id="1"/>
    <w:bookmarkStart w:name="z3" w:id="2"/>
    <w:p>
      <w:pPr>
        <w:spacing w:after="0"/>
        <w:ind w:left="0"/>
        <w:jc w:val="both"/>
      </w:pPr>
      <w:r>
        <w:rPr>
          <w:rFonts w:ascii="Times New Roman"/>
          <w:b w:val="false"/>
          <w:i w:val="false"/>
          <w:color w:val="000000"/>
          <w:sz w:val="28"/>
        </w:rPr>
        <w:t>
      2. Центральным исполнительным органам Республики Казахстан и акимату Восточно-Казахстанской области обеспечить своевременное выполнение мероприятий, предусмотренных Планом, и по итогам года, не позднее 20 января, представлять информацию о ходе их реализации в Министерство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 марта, представлять в Правительство Республики Казахстан сводную информацию о ходе реализации Плана.</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9" w:id="6"/>
    <w:p>
      <w:pPr>
        <w:spacing w:after="0"/>
        <w:ind w:left="0"/>
        <w:jc w:val="left"/>
      </w:pPr>
      <w:r>
        <w:rPr>
          <w:rFonts w:ascii="Times New Roman"/>
          <w:b/>
          <w:i w:val="false"/>
          <w:color w:val="000000"/>
        </w:rPr>
        <w:t xml:space="preserve"> Комплексный план </w:t>
      </w:r>
      <w:r>
        <w:br/>
      </w:r>
      <w:r>
        <w:rPr>
          <w:rFonts w:ascii="Times New Roman"/>
          <w:b/>
          <w:i w:val="false"/>
          <w:color w:val="000000"/>
        </w:rPr>
        <w:t>социально-экономического развития города Серебрянска Восточно-Казахстанской области на 2023 – 2027 годы</w:t>
      </w:r>
    </w:p>
    <w:bookmarkEnd w:id="6"/>
    <w:bookmarkStart w:name="z10" w:id="7"/>
    <w:p>
      <w:pPr>
        <w:spacing w:after="0"/>
        <w:ind w:left="0"/>
        <w:jc w:val="both"/>
      </w:pPr>
      <w:r>
        <w:rPr>
          <w:rFonts w:ascii="Times New Roman"/>
          <w:b w:val="false"/>
          <w:i w:val="false"/>
          <w:color w:val="000000"/>
          <w:sz w:val="28"/>
        </w:rPr>
        <w:t>
      В административно-территориальный состав района Алтай входят 2 города, в том числе город Серебрянск.</w:t>
      </w:r>
    </w:p>
    <w:bookmarkEnd w:id="7"/>
    <w:bookmarkStart w:name="z11" w:id="8"/>
    <w:p>
      <w:pPr>
        <w:spacing w:after="0"/>
        <w:ind w:left="0"/>
        <w:jc w:val="both"/>
      </w:pPr>
      <w:r>
        <w:rPr>
          <w:rFonts w:ascii="Times New Roman"/>
          <w:b w:val="false"/>
          <w:i w:val="false"/>
          <w:color w:val="000000"/>
          <w:sz w:val="28"/>
        </w:rPr>
        <w:t>
      Промышленность, которая представлена следующими отраслями: обрабатывающая промышленность, производство и распределение электроэнергии, тепло- и водоснабжения, является основным драйвером экономического развития города. В структуре промышленности наибольший удельный вес приходится на производство и распределение электроэнергии.</w:t>
      </w:r>
    </w:p>
    <w:bookmarkEnd w:id="8"/>
    <w:bookmarkStart w:name="z12" w:id="9"/>
    <w:p>
      <w:pPr>
        <w:spacing w:after="0"/>
        <w:ind w:left="0"/>
        <w:jc w:val="both"/>
      </w:pPr>
      <w:r>
        <w:rPr>
          <w:rFonts w:ascii="Times New Roman"/>
          <w:b w:val="false"/>
          <w:i w:val="false"/>
          <w:color w:val="000000"/>
          <w:sz w:val="28"/>
        </w:rPr>
        <w:t>
      Основными предприятиями промышленности являются Бухтарминский гидроэнергетический комплекс ТОО "Казцинк" (производство, передача и распределение электроэнергии), филиал гидротехнических сооружений РГКП "Қазақстан су жолдары", Серебрянская дистанция путей АО "НК "Қазақстан темір жолы" (работы по железнодорожному обеспечению), ТОО "Серебрянское ПАТП" (автопассажирские перевозки), ТОО "Саулет" (строительные работы), ТОО "Дигорос" (сбор и утилизация твердых бытовых отходов).</w:t>
      </w:r>
    </w:p>
    <w:bookmarkEnd w:id="9"/>
    <w:bookmarkStart w:name="z13" w:id="10"/>
    <w:p>
      <w:pPr>
        <w:spacing w:after="0"/>
        <w:ind w:left="0"/>
        <w:jc w:val="both"/>
      </w:pPr>
      <w:r>
        <w:rPr>
          <w:rFonts w:ascii="Times New Roman"/>
          <w:b w:val="false"/>
          <w:i w:val="false"/>
          <w:color w:val="000000"/>
          <w:sz w:val="28"/>
        </w:rPr>
        <w:t>
      За январь–декабрь 2022 года объем производства промышленной продукции города составил 4,3 миллиарда тенге (2021 год – 4,1 миллиарда тенге). Производство электроэнергии составило 2693,6 миллиона кВт/час (2021 год – 2974,1 миллиона кВт/час).</w:t>
      </w:r>
    </w:p>
    <w:bookmarkEnd w:id="10"/>
    <w:bookmarkStart w:name="z14" w:id="11"/>
    <w:p>
      <w:pPr>
        <w:spacing w:after="0"/>
        <w:ind w:left="0"/>
        <w:jc w:val="both"/>
      </w:pPr>
      <w:r>
        <w:rPr>
          <w:rFonts w:ascii="Times New Roman"/>
          <w:b w:val="false"/>
          <w:i w:val="false"/>
          <w:color w:val="000000"/>
          <w:sz w:val="28"/>
        </w:rPr>
        <w:t xml:space="preserve">
      По итогам 2022 года численность населения города составила 7,2 тысячи человек, численность рабочей силы – 3,1 тысячи человек или 43,1 % от общей численности населения. Уровень безработицы – 4,2 %. Доля занятого населения в малом и среднем предпринимательстве (далее – МСП) составляет 30 % в различных сферах услуг (розничная торговля продуктами питания и промышленными товарами, общественное питание, транспортные перевозки и другие социальные услуги). </w:t>
      </w:r>
    </w:p>
    <w:bookmarkEnd w:id="11"/>
    <w:bookmarkStart w:name="z15" w:id="12"/>
    <w:p>
      <w:pPr>
        <w:spacing w:after="0"/>
        <w:ind w:left="0"/>
        <w:jc w:val="both"/>
      </w:pPr>
      <w:r>
        <w:rPr>
          <w:rFonts w:ascii="Times New Roman"/>
          <w:b w:val="false"/>
          <w:i w:val="false"/>
          <w:color w:val="000000"/>
          <w:sz w:val="28"/>
        </w:rPr>
        <w:t>
      Функционируют 3 общеобразовательные школы (824 учащихся), профессиональный технологический колледж (139 учащихся), 2 специализированных учебных заведения: КГУ "Центр поддержки детей с особыми образовательными потребностями УО ВКО" (82 воспитанника) и КГУ "Специализированная школа-интернат для детей с девиантным поведением УО ВКО" (22 воспитанника), 2 детских сада (268 детей), КГКП "Детская музыкальная школа города Серебрянска" (248 учеников), КГУ "Детско-юношеская спортивная школа города Серебрянска" (324 ученика). Общая численность учащихся в этих заведениях составляет 1 907 человек. Охват детей от 1 до 3 лет дошкольным воспитанием и обучением составил 98 %, от 3 лет до 6 составляет 100 %. Дефицит в общеобразовательных и дошкольных учреждениях отсутствует.</w:t>
      </w:r>
    </w:p>
    <w:bookmarkEnd w:id="12"/>
    <w:bookmarkStart w:name="z16" w:id="13"/>
    <w:p>
      <w:pPr>
        <w:spacing w:after="0"/>
        <w:ind w:left="0"/>
        <w:jc w:val="both"/>
      </w:pPr>
      <w:r>
        <w:rPr>
          <w:rFonts w:ascii="Times New Roman"/>
          <w:b w:val="false"/>
          <w:i w:val="false"/>
          <w:color w:val="000000"/>
          <w:sz w:val="28"/>
        </w:rPr>
        <w:t xml:space="preserve">
      В городе зарегистрирован 331 субъект МСП, в том числе действующие – 296 единиц. В структуре действующих субъектов малого предпринимательства основная доля приходится на индивидуальных предпринимателей – 277 единиц (93,6 %), юридических лиц – 19 единиц (6,4 %). Основным сферами деятельности МСП выступают розничная торговля продуктами питания и промышленными товарами, общественное питание, транспортные перевозки. </w:t>
      </w:r>
    </w:p>
    <w:bookmarkEnd w:id="13"/>
    <w:bookmarkStart w:name="z17" w:id="14"/>
    <w:p>
      <w:pPr>
        <w:spacing w:after="0"/>
        <w:ind w:left="0"/>
        <w:jc w:val="both"/>
      </w:pPr>
      <w:r>
        <w:rPr>
          <w:rFonts w:ascii="Times New Roman"/>
          <w:b w:val="false"/>
          <w:i w:val="false"/>
          <w:color w:val="000000"/>
          <w:sz w:val="28"/>
        </w:rPr>
        <w:t xml:space="preserve">
      Медицинскую помощь населению оказывает КГП на ПХВ "Городская больница города Серебрянска", в состав которой входит поликлиника и стационар. За 2022 год случаев материнской, детской смертности не зарегистрировано. Коэффициент смертности по сравнению с 2021 годом снизился с 11,4 до 10,6 случаев на 1000 человек. </w:t>
      </w:r>
    </w:p>
    <w:bookmarkEnd w:id="14"/>
    <w:bookmarkStart w:name="z18" w:id="15"/>
    <w:p>
      <w:pPr>
        <w:spacing w:after="0"/>
        <w:ind w:left="0"/>
        <w:jc w:val="both"/>
      </w:pPr>
      <w:r>
        <w:rPr>
          <w:rFonts w:ascii="Times New Roman"/>
          <w:b w:val="false"/>
          <w:i w:val="false"/>
          <w:color w:val="000000"/>
          <w:sz w:val="28"/>
        </w:rPr>
        <w:t>
      Функционируют центр культуры "Горняк", взрослая и детская библиотека на 30 посадочных мест, физкультурно-оздоровительный комплекс, 3 спортзала, 6 открытых спортивных площадок, детская юношеская спортивная школа.</w:t>
      </w:r>
    </w:p>
    <w:bookmarkEnd w:id="15"/>
    <w:bookmarkStart w:name="z19" w:id="16"/>
    <w:p>
      <w:pPr>
        <w:spacing w:after="0"/>
        <w:ind w:left="0"/>
        <w:jc w:val="both"/>
      </w:pPr>
      <w:r>
        <w:rPr>
          <w:rFonts w:ascii="Times New Roman"/>
          <w:b w:val="false"/>
          <w:i w:val="false"/>
          <w:color w:val="000000"/>
          <w:sz w:val="28"/>
        </w:rPr>
        <w:t>
      Протяженность городских дорог составляет 69 километров, в том числе с твердым покрытием 54 километра. Износ покрытия дорог составляет 75 %.</w:t>
      </w:r>
    </w:p>
    <w:bookmarkEnd w:id="16"/>
    <w:bookmarkStart w:name="z20" w:id="17"/>
    <w:p>
      <w:pPr>
        <w:spacing w:after="0"/>
        <w:ind w:left="0"/>
        <w:jc w:val="both"/>
      </w:pPr>
      <w:r>
        <w:rPr>
          <w:rFonts w:ascii="Times New Roman"/>
          <w:b w:val="false"/>
          <w:i w:val="false"/>
          <w:color w:val="000000"/>
          <w:sz w:val="28"/>
        </w:rPr>
        <w:t>
      Общая протяженность сетей водоснабжения составляет 64,9 километра, износ сетей – 91 %. Обеспеченность централизованным водоснабжением составляет 90 %. Общая протяженность сетей теплоснабжения составляет 25,8 километра, износ сетей 80 %.</w:t>
      </w:r>
    </w:p>
    <w:bookmarkEnd w:id="17"/>
    <w:p>
      <w:pPr>
        <w:spacing w:after="0"/>
        <w:ind w:left="0"/>
        <w:jc w:val="both"/>
      </w:pPr>
      <w:bookmarkStart w:name="z21" w:id="18"/>
      <w:r>
        <w:rPr>
          <w:rFonts w:ascii="Times New Roman"/>
          <w:b w:val="false"/>
          <w:i w:val="false"/>
          <w:color w:val="000000"/>
          <w:sz w:val="28"/>
        </w:rPr>
        <w:t xml:space="preserve">
      Жилищный фонд города составляет 1329 домов общей площадью 179,1 тысячи квадратных метров, в том числе </w:t>
      </w:r>
    </w:p>
    <w:bookmarkEnd w:id="18"/>
    <w:p>
      <w:pPr>
        <w:spacing w:after="0"/>
        <w:ind w:left="0"/>
        <w:jc w:val="both"/>
      </w:pPr>
      <w:r>
        <w:rPr>
          <w:rFonts w:ascii="Times New Roman"/>
          <w:b w:val="false"/>
          <w:i w:val="false"/>
          <w:color w:val="000000"/>
          <w:sz w:val="28"/>
        </w:rPr>
        <w:t xml:space="preserve">103 многоэтажных дома. Очередность граждан на получение жилья из государственного жилищного фонда 159 человек, в том числе дети-сироты – 145 человек, 1 многодетная семья, пенсионеры, неполные семьи – 13 человек. Развитие экономики города планируется направить на создание условий для привлечения инвестиций и развития малого бизнеса, создание новых рабочих мест за счет организации новых производств. </w:t>
      </w:r>
    </w:p>
    <w:bookmarkStart w:name="z22" w:id="19"/>
    <w:p>
      <w:pPr>
        <w:spacing w:after="0"/>
        <w:ind w:left="0"/>
        <w:jc w:val="both"/>
      </w:pPr>
      <w:r>
        <w:rPr>
          <w:rFonts w:ascii="Times New Roman"/>
          <w:b w:val="false"/>
          <w:i w:val="false"/>
          <w:color w:val="000000"/>
          <w:sz w:val="28"/>
        </w:rPr>
        <w:t xml:space="preserve">
      Развивающимся направлением промышленности является обрабатывающая и энергетическая промышленность. Передача завода неорганических производств в коммунальную собственность акимата Восточно-Казахстанской области для дальнейшего привлечения инвесторов будет способствовать сохранению инвестиционной привлекательности объекта и города, а также развитию промышленности, что позволит обеспечить потребности внутри области и положительно повлияет на увеличение объемов продукции несырьевого экспорта региона. </w:t>
      </w:r>
    </w:p>
    <w:bookmarkEnd w:id="19"/>
    <w:bookmarkStart w:name="z23" w:id="20"/>
    <w:p>
      <w:pPr>
        <w:spacing w:after="0"/>
        <w:ind w:left="0"/>
        <w:jc w:val="both"/>
      </w:pPr>
      <w:r>
        <w:rPr>
          <w:rFonts w:ascii="Times New Roman"/>
          <w:b w:val="false"/>
          <w:i w:val="false"/>
          <w:color w:val="000000"/>
          <w:sz w:val="28"/>
        </w:rPr>
        <w:t>
      При этом в ближайшее время планируется решение следующих вопросов:</w:t>
      </w:r>
    </w:p>
    <w:bookmarkEnd w:id="20"/>
    <w:bookmarkStart w:name="z24" w:id="21"/>
    <w:p>
      <w:pPr>
        <w:spacing w:after="0"/>
        <w:ind w:left="0"/>
        <w:jc w:val="both"/>
      </w:pPr>
      <w:r>
        <w:rPr>
          <w:rFonts w:ascii="Times New Roman"/>
          <w:b w:val="false"/>
          <w:i w:val="false"/>
          <w:color w:val="000000"/>
          <w:sz w:val="28"/>
        </w:rPr>
        <w:t>
      1) возобновление деятельности Серебрянского завода неорганических производств, путем привлечения инвестора и создания 150 рабочих мест;</w:t>
      </w:r>
    </w:p>
    <w:bookmarkEnd w:id="21"/>
    <w:bookmarkStart w:name="z25" w:id="22"/>
    <w:p>
      <w:pPr>
        <w:spacing w:after="0"/>
        <w:ind w:left="0"/>
        <w:jc w:val="both"/>
      </w:pPr>
      <w:r>
        <w:rPr>
          <w:rFonts w:ascii="Times New Roman"/>
          <w:b w:val="false"/>
          <w:i w:val="false"/>
          <w:color w:val="000000"/>
          <w:sz w:val="28"/>
        </w:rPr>
        <w:t>
      2) развитие МСП;</w:t>
      </w:r>
    </w:p>
    <w:bookmarkEnd w:id="22"/>
    <w:bookmarkStart w:name="z26" w:id="23"/>
    <w:p>
      <w:pPr>
        <w:spacing w:after="0"/>
        <w:ind w:left="0"/>
        <w:jc w:val="both"/>
      </w:pPr>
      <w:r>
        <w:rPr>
          <w:rFonts w:ascii="Times New Roman"/>
          <w:b w:val="false"/>
          <w:i w:val="false"/>
          <w:color w:val="000000"/>
          <w:sz w:val="28"/>
        </w:rPr>
        <w:t>
      3) обеспечение занятости населения;</w:t>
      </w:r>
    </w:p>
    <w:bookmarkEnd w:id="23"/>
    <w:bookmarkStart w:name="z27" w:id="24"/>
    <w:p>
      <w:pPr>
        <w:spacing w:after="0"/>
        <w:ind w:left="0"/>
        <w:jc w:val="both"/>
      </w:pPr>
      <w:r>
        <w:rPr>
          <w:rFonts w:ascii="Times New Roman"/>
          <w:b w:val="false"/>
          <w:i w:val="false"/>
          <w:color w:val="000000"/>
          <w:sz w:val="28"/>
        </w:rPr>
        <w:t>
      4) проведение ремонта и укрепление материально-технической базы объектов образования (систем отопления, водоснабжения и канализации, кровли, замена оконных блоков и так далее);</w:t>
      </w:r>
    </w:p>
    <w:bookmarkEnd w:id="24"/>
    <w:bookmarkStart w:name="z28" w:id="25"/>
    <w:p>
      <w:pPr>
        <w:spacing w:after="0"/>
        <w:ind w:left="0"/>
        <w:jc w:val="both"/>
      </w:pPr>
      <w:r>
        <w:rPr>
          <w:rFonts w:ascii="Times New Roman"/>
          <w:b w:val="false"/>
          <w:i w:val="false"/>
          <w:color w:val="000000"/>
          <w:sz w:val="28"/>
        </w:rPr>
        <w:t>
      5) проведение капитального ремонта инфекционного отделения городской больницы;</w:t>
      </w:r>
    </w:p>
    <w:bookmarkEnd w:id="25"/>
    <w:bookmarkStart w:name="z29" w:id="26"/>
    <w:p>
      <w:pPr>
        <w:spacing w:after="0"/>
        <w:ind w:left="0"/>
        <w:jc w:val="both"/>
      </w:pPr>
      <w:r>
        <w:rPr>
          <w:rFonts w:ascii="Times New Roman"/>
          <w:b w:val="false"/>
          <w:i w:val="false"/>
          <w:color w:val="000000"/>
          <w:sz w:val="28"/>
        </w:rPr>
        <w:t xml:space="preserve">
      6) реконструкция бывшего административного здания Серебрянского завода неорганических производств под культурно-спортивно-досуговый центр; </w:t>
      </w:r>
    </w:p>
    <w:bookmarkEnd w:id="26"/>
    <w:bookmarkStart w:name="z30" w:id="27"/>
    <w:p>
      <w:pPr>
        <w:spacing w:after="0"/>
        <w:ind w:left="0"/>
        <w:jc w:val="both"/>
      </w:pPr>
      <w:r>
        <w:rPr>
          <w:rFonts w:ascii="Times New Roman"/>
          <w:b w:val="false"/>
          <w:i w:val="false"/>
          <w:color w:val="000000"/>
          <w:sz w:val="28"/>
        </w:rPr>
        <w:t>
      7) улучшение состояние инженерных сетей, котельной города Серебрянска (требуется реконструкция сетей водоснабжения, теплоснабжения, износ составляет более 80 %);</w:t>
      </w:r>
    </w:p>
    <w:bookmarkEnd w:id="27"/>
    <w:bookmarkStart w:name="z31" w:id="28"/>
    <w:p>
      <w:pPr>
        <w:spacing w:after="0"/>
        <w:ind w:left="0"/>
        <w:jc w:val="both"/>
      </w:pPr>
      <w:r>
        <w:rPr>
          <w:rFonts w:ascii="Times New Roman"/>
          <w:b w:val="false"/>
          <w:i w:val="false"/>
          <w:color w:val="000000"/>
          <w:sz w:val="28"/>
        </w:rPr>
        <w:t>
      8) реконструкция 30 километров дорог или 43,5 %, которые находятся в неудовлетворительном состоянии;</w:t>
      </w:r>
    </w:p>
    <w:bookmarkEnd w:id="28"/>
    <w:bookmarkStart w:name="z32" w:id="29"/>
    <w:p>
      <w:pPr>
        <w:spacing w:after="0"/>
        <w:ind w:left="0"/>
        <w:jc w:val="both"/>
      </w:pPr>
      <w:r>
        <w:rPr>
          <w:rFonts w:ascii="Times New Roman"/>
          <w:b w:val="false"/>
          <w:i w:val="false"/>
          <w:color w:val="000000"/>
          <w:sz w:val="28"/>
        </w:rPr>
        <w:t>
      9) решение вопроса нехватки жилья для очередников и социально уязвимых слоев населения;</w:t>
      </w:r>
    </w:p>
    <w:bookmarkEnd w:id="29"/>
    <w:bookmarkStart w:name="z33" w:id="30"/>
    <w:p>
      <w:pPr>
        <w:spacing w:after="0"/>
        <w:ind w:left="0"/>
        <w:jc w:val="both"/>
      </w:pPr>
      <w:r>
        <w:rPr>
          <w:rFonts w:ascii="Times New Roman"/>
          <w:b w:val="false"/>
          <w:i w:val="false"/>
          <w:color w:val="000000"/>
          <w:sz w:val="28"/>
        </w:rPr>
        <w:t>
      10) предупреждение чрезвычайных ситуаций (требуется внедрение городского пульта управления системой оповещения, сиренно-речевых устройств, системы перехвата телерадиовещания).</w:t>
      </w:r>
    </w:p>
    <w:bookmarkEnd w:id="30"/>
    <w:bookmarkStart w:name="z34" w:id="31"/>
    <w:p>
      <w:pPr>
        <w:spacing w:after="0"/>
        <w:ind w:left="0"/>
        <w:jc w:val="both"/>
      </w:pPr>
      <w:r>
        <w:rPr>
          <w:rFonts w:ascii="Times New Roman"/>
          <w:b w:val="false"/>
          <w:i w:val="false"/>
          <w:color w:val="000000"/>
          <w:sz w:val="28"/>
        </w:rPr>
        <w:t>
      В целом Комплексный план предусматривает сбалансированное развитие города Серебрянска, он состоит из 20 организационных и реализационных мероприятий, которые будут финансироваться в рамках республиканских, местных бюджетов и за счет привлечения других источников. Из общего числа мероприятий реализация 4 пунктов планируется за счет других источников (1091,2 миллиона тенге или 15,8 % от общей суммы финансирования), реализация 16 мероприятий планируется за счет республиканского и местного бюджетов (РБ – 3061 миллион тенге или 44,2 %, МБ – 2766,4 миллиона тенге или 40 %).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миллион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Ожидаемые результаты: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промышленного производства до 8,5 миллиарда тенге (2022 год – 6,3 миллиарда тенге) за счет возобновления выпуска средств защиты органов дыхания до 3000 единиц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более 700 рабочих мест за счет реализации проектов в реальном секторе экономики и мероприятий по обеспечению занятости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социально уязвимых слоев населения (40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дорог, находящихся в хорошем и удовлетворительном состоянии, до 69,5 % (2022 год – 56,5 %);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бесперебойным качественным центральным водоснабжением до 100 % (2022 год – 91 %), снижение износа сетей водоснабжения до 45 % (2022 год – 91 %), снижение износа котельной до 30 % (2022 год – 80 %), износа сетей теплоснабжения до 45 % (2022 год – 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занимающихся физической культурой и спортом до 1,8 тысячи человек (2022 год – 1,4 тысячи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уровня обеспеченности населения спортивной инфраструктурой до 23 % (2022 год – 17,5 %);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100 % охвата оповещения населения, проживающего в городе, в случаях угрозы и возникновения чрезвычайной ситуации за счет приобретения городского пульта управления системой оповещения и сиренно-речевых устройств.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Реальный сектор экономики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Сфера промышленности и инвестиций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деятельности Серебрянского завода неорганических производств (привлечение инвестора на производственные площади с организацией производства, сдача в аренду)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доверительного управления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Сфера предпринимательства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по инкубации, выращиванию личинок мальков лососевых, осетровых, сиговых и карповых видов рыб и их реализация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социально уязвимым слоям населения для стартового капитала (ежегодно не менее 3 грантов)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Сфера занятости и социального обеспечения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рабочих мест в предприятиях с охватом трудоустроенных не менее 64 человек ежегодно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МТСЗН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Поддержание социальной и инженерной инфраструктуры города Серебрянска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Сфера образования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базы 3 общеобразовательных школ (ежегодно)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системы отопления КГУ "СШ № 2 города Серебрянска"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системы отопления КГУ "СШ №1 имени М.В. Инюшина города Серебрянска"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Сфера здравоохранения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инфекционного отделения городской больницы, расположенного по адресу: город Серебрянск, улица Мира, дом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Сфера культуры и спорта, досуга молодежи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бывшего административного здания Серебрянского завода неорганических производств под культурно-спортивно-досуговый центр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Развитие жизнеобеспечивающей инфраструктуры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Теплоснабжение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комплекса котельной города Серебрянска по улице Некрасова (замена 2 водонагревательных котлов на котельной, ремонт котельного оборудования)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сетей теплоснабжения города (протяженность – 6 километров)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Водоснабжение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города (протяженность – 14,6 километра)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Восточно-Казахстанской области, МИИР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Дороги и благоустройство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 текущий ремонт улиц города Серебрянска (ежегодно не менее 1,5 километра)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дворовых территорий с устройством детских площадок (ежегодно по 1 двору)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инфраструктуры по улице Некрасова в городе Серебрянске (протяженность – 1 километр пешеходной зоны и дорожек)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xml:space="preserve">
акимат Восточно-Казахстанской области, </w:t>
            </w:r>
          </w:p>
          <w:bookmarkEnd w:id="32"/>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дорожной инфраструктуры города Серебрянска (протяженность дороги – 1,5 километра)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xml:space="preserve">
акимат Восточно-Казахстанской области, </w:t>
            </w:r>
          </w:p>
          <w:bookmarkEnd w:id="33"/>
          <w:p>
            <w:pPr>
              <w:spacing w:after="20"/>
              <w:ind w:left="20"/>
              <w:jc w:val="both"/>
            </w:pPr>
            <w:r>
              <w:rPr>
                <w:rFonts w:ascii="Times New Roman"/>
                <w:b w:val="false"/>
                <w:i w:val="false"/>
                <w:color w:val="000000"/>
                <w:sz w:val="20"/>
              </w:rPr>
              <w:t>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системы уличного освещения города Серебрянска (490 светильников, протяженность – 14,7 километра)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Жилье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бывшего общежития по улице Веденеева, 18 под жилой дом для социально уязвимых слоев населения (40 квартир)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Безопасность и правопорядок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городского пульта управления системой оповещения (1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сиренно-речевых устройств (5 комплектов)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 – 1 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 – 2 комплекта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 – 2 комплекта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 w:id="34"/>
    <w:p>
      <w:pPr>
        <w:spacing w:after="0"/>
        <w:ind w:left="0"/>
        <w:jc w:val="both"/>
      </w:pPr>
      <w:r>
        <w:rPr>
          <w:rFonts w:ascii="Times New Roman"/>
          <w:b w:val="false"/>
          <w:i w:val="false"/>
          <w:color w:val="000000"/>
          <w:sz w:val="28"/>
        </w:rPr>
        <w:t>
      Примечания:</w:t>
      </w:r>
    </w:p>
    <w:bookmarkEnd w:id="34"/>
    <w:bookmarkStart w:name="z38"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местных бюджетов на соответствующий плановый период при предоставлении акиматом необходимой документации в соответствии с бюджетным законодательством.</w:t>
      </w:r>
    </w:p>
    <w:bookmarkEnd w:id="35"/>
    <w:bookmarkStart w:name="z39" w:id="36"/>
    <w:p>
      <w:pPr>
        <w:spacing w:after="0"/>
        <w:ind w:left="0"/>
        <w:jc w:val="left"/>
      </w:pPr>
      <w:r>
        <w:rPr>
          <w:rFonts w:ascii="Times New Roman"/>
          <w:b/>
          <w:i w:val="false"/>
          <w:color w:val="000000"/>
        </w:rPr>
        <w:t xml:space="preserve"> Объем финансирования по поддержанным проектам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6 918,6 </w:t>
            </w:r>
          </w:p>
        </w:tc>
      </w:tr>
    </w:tbl>
    <w:bookmarkStart w:name="z40" w:id="37"/>
    <w:p>
      <w:pPr>
        <w:spacing w:after="0"/>
        <w:ind w:left="0"/>
        <w:jc w:val="both"/>
      </w:pPr>
      <w:r>
        <w:rPr>
          <w:rFonts w:ascii="Times New Roman"/>
          <w:b w:val="false"/>
          <w:i w:val="false"/>
          <w:color w:val="000000"/>
          <w:sz w:val="28"/>
        </w:rPr>
        <w:t>
      Расшифровка аббревиатур:</w:t>
      </w:r>
    </w:p>
    <w:bookmarkEnd w:id="37"/>
    <w:bookmarkStart w:name="z41" w:id="38"/>
    <w:p>
      <w:pPr>
        <w:spacing w:after="0"/>
        <w:ind w:left="0"/>
        <w:jc w:val="both"/>
      </w:pPr>
      <w:r>
        <w:rPr>
          <w:rFonts w:ascii="Times New Roman"/>
          <w:b w:val="false"/>
          <w:i w:val="false"/>
          <w:color w:val="000000"/>
          <w:sz w:val="28"/>
        </w:rPr>
        <w:t>
      ДИ – другие источники</w:t>
      </w:r>
    </w:p>
    <w:bookmarkEnd w:id="38"/>
    <w:bookmarkStart w:name="z42" w:id="39"/>
    <w:p>
      <w:pPr>
        <w:spacing w:after="0"/>
        <w:ind w:left="0"/>
        <w:jc w:val="both"/>
      </w:pPr>
      <w:r>
        <w:rPr>
          <w:rFonts w:ascii="Times New Roman"/>
          <w:b w:val="false"/>
          <w:i w:val="false"/>
          <w:color w:val="000000"/>
          <w:sz w:val="28"/>
        </w:rPr>
        <w:t>
      МБ – местный бюджет</w:t>
      </w:r>
    </w:p>
    <w:bookmarkEnd w:id="39"/>
    <w:bookmarkStart w:name="z43" w:id="40"/>
    <w:p>
      <w:pPr>
        <w:spacing w:after="0"/>
        <w:ind w:left="0"/>
        <w:jc w:val="both"/>
      </w:pPr>
      <w:r>
        <w:rPr>
          <w:rFonts w:ascii="Times New Roman"/>
          <w:b w:val="false"/>
          <w:i w:val="false"/>
          <w:color w:val="000000"/>
          <w:sz w:val="28"/>
        </w:rPr>
        <w:t>
      ТОО – товарищество с ограниченной ответственностью</w:t>
      </w:r>
    </w:p>
    <w:bookmarkEnd w:id="40"/>
    <w:bookmarkStart w:name="z44" w:id="41"/>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41"/>
    <w:bookmarkStart w:name="z45" w:id="42"/>
    <w:p>
      <w:pPr>
        <w:spacing w:after="0"/>
        <w:ind w:left="0"/>
        <w:jc w:val="both"/>
      </w:pPr>
      <w:r>
        <w:rPr>
          <w:rFonts w:ascii="Times New Roman"/>
          <w:b w:val="false"/>
          <w:i w:val="false"/>
          <w:color w:val="000000"/>
          <w:sz w:val="28"/>
        </w:rPr>
        <w:t>
      КГУ – коммунальное государственное учреждение</w:t>
      </w:r>
    </w:p>
    <w:bookmarkEnd w:id="42"/>
    <w:bookmarkStart w:name="z46" w:id="43"/>
    <w:p>
      <w:pPr>
        <w:spacing w:after="0"/>
        <w:ind w:left="0"/>
        <w:jc w:val="both"/>
      </w:pPr>
      <w:r>
        <w:rPr>
          <w:rFonts w:ascii="Times New Roman"/>
          <w:b w:val="false"/>
          <w:i w:val="false"/>
          <w:color w:val="000000"/>
          <w:sz w:val="28"/>
        </w:rPr>
        <w:t>
      КГП – коммунальное государственное предприятие</w:t>
      </w:r>
    </w:p>
    <w:bookmarkEnd w:id="43"/>
    <w:bookmarkStart w:name="z47" w:id="44"/>
    <w:p>
      <w:pPr>
        <w:spacing w:after="0"/>
        <w:ind w:left="0"/>
        <w:jc w:val="both"/>
      </w:pPr>
      <w:r>
        <w:rPr>
          <w:rFonts w:ascii="Times New Roman"/>
          <w:b w:val="false"/>
          <w:i w:val="false"/>
          <w:color w:val="000000"/>
          <w:sz w:val="28"/>
        </w:rPr>
        <w:t>
      СШ – средняя школа</w:t>
      </w:r>
    </w:p>
    <w:bookmarkEnd w:id="44"/>
    <w:bookmarkStart w:name="z48" w:id="45"/>
    <w:p>
      <w:pPr>
        <w:spacing w:after="0"/>
        <w:ind w:left="0"/>
        <w:jc w:val="both"/>
      </w:pPr>
      <w:r>
        <w:rPr>
          <w:rFonts w:ascii="Times New Roman"/>
          <w:b w:val="false"/>
          <w:i w:val="false"/>
          <w:color w:val="000000"/>
          <w:sz w:val="28"/>
        </w:rPr>
        <w:t>
      РБ – республиканский бюджет</w:t>
      </w:r>
    </w:p>
    <w:bookmarkEnd w:id="45"/>
    <w:bookmarkStart w:name="z49" w:id="46"/>
    <w:p>
      <w:pPr>
        <w:spacing w:after="0"/>
        <w:ind w:left="0"/>
        <w:jc w:val="both"/>
      </w:pPr>
      <w:r>
        <w:rPr>
          <w:rFonts w:ascii="Times New Roman"/>
          <w:b w:val="false"/>
          <w:i w:val="false"/>
          <w:color w:val="000000"/>
          <w:sz w:val="28"/>
        </w:rPr>
        <w:t>
      РГКП – республиканское государственное коммунальное предприятие</w:t>
      </w:r>
    </w:p>
    <w:bookmarkEnd w:id="46"/>
    <w:bookmarkStart w:name="z50" w:id="47"/>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47"/>
    <w:bookmarkStart w:name="z51" w:id="48"/>
    <w:p>
      <w:pPr>
        <w:spacing w:after="0"/>
        <w:ind w:left="0"/>
        <w:jc w:val="both"/>
      </w:pPr>
      <w:r>
        <w:rPr>
          <w:rFonts w:ascii="Times New Roman"/>
          <w:b w:val="false"/>
          <w:i w:val="false"/>
          <w:color w:val="000000"/>
          <w:sz w:val="28"/>
        </w:rPr>
        <w:t>
      УО ВКО – Управление образования Восточно-Казахстанской области</w:t>
      </w:r>
    </w:p>
    <w:bookmarkEnd w:id="48"/>
    <w:bookmarkStart w:name="z52" w:id="49"/>
    <w:p>
      <w:pPr>
        <w:spacing w:after="0"/>
        <w:ind w:left="0"/>
        <w:jc w:val="both"/>
      </w:pPr>
      <w:r>
        <w:rPr>
          <w:rFonts w:ascii="Times New Roman"/>
          <w:b w:val="false"/>
          <w:i w:val="false"/>
          <w:color w:val="000000"/>
          <w:sz w:val="28"/>
        </w:rPr>
        <w:t>
      МСП – малое и среднее предпринимательство</w:t>
      </w:r>
    </w:p>
    <w:bookmarkEnd w:id="49"/>
    <w:bookmarkStart w:name="z53" w:id="50"/>
    <w:p>
      <w:pPr>
        <w:spacing w:after="0"/>
        <w:ind w:left="0"/>
        <w:jc w:val="both"/>
      </w:pPr>
      <w:r>
        <w:rPr>
          <w:rFonts w:ascii="Times New Roman"/>
          <w:b w:val="false"/>
          <w:i w:val="false"/>
          <w:color w:val="000000"/>
          <w:sz w:val="28"/>
        </w:rPr>
        <w:t>
      КГП на ПХВ – коммунальное государственное предприятие на праве хозяйственного ведения.</w:t>
      </w:r>
    </w:p>
    <w:bookmarkEnd w:id="50"/>
    <w:bookmarkStart w:name="z54" w:id="51"/>
    <w:p>
      <w:pPr>
        <w:spacing w:after="0"/>
        <w:ind w:left="0"/>
        <w:jc w:val="both"/>
      </w:pPr>
      <w:r>
        <w:rPr>
          <w:rFonts w:ascii="Times New Roman"/>
          <w:b w:val="false"/>
          <w:i w:val="false"/>
          <w:color w:val="000000"/>
          <w:sz w:val="28"/>
        </w:rPr>
        <w:t>
      ______________________________________</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