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3cc4" w14:textId="62a3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2023 года № 1148.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496-1), 496-2), 496-3), 496-4), 496-5), 496-6), 496-7), 496-8) и 496-9)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"496-1) разработка и утверждение формы решения, принятого по результатам рассмотрения петиции;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496-2) разработка и утверждение правил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496-3) разработка и утверждение стандарта открытости обладателей информации;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496-4) разработка и утверждение правил регистрации и учета петиций;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496-5) определение интернет-ресурса для подачи петиции;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496-6) разработка и утверждение формы письменного заявления о размещении петиции на интернет-ресурсе;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496-7) разработка и утверждение правил присоединения к петиции и формы письменного заявления о присоединении к петиции;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496-8) осуществление проверки петиции на соответствие условиям, установленным законодательством;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496-9) информирование средств массовой информации, поставленных на учет в уполномоченном органе в области средств массовой информации, о начале присоединения к петиции;".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опубликования, но не ранее 4 апреля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