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cc17" w14:textId="40acc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27 апреля 2022 года № 250 "Об утверждении Концепции развития малого и среднего предпринимательства в Республике Казахстан до 2030 года"</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2023 года № 1241.</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апреля 2022 года № 250 "Об утверждении Концепции развития малого и среднего предпринимательства в Республике Казахстан до 2030 года" следующие изменения: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Концепции</w:t>
      </w:r>
      <w:r>
        <w:rPr>
          <w:rFonts w:ascii="Times New Roman"/>
          <w:b w:val="false"/>
          <w:i w:val="false"/>
          <w:color w:val="000000"/>
          <w:sz w:val="28"/>
        </w:rPr>
        <w:t xml:space="preserve"> развития малого и среднего предпринимательства в Республике Казахстан до 2030 года, утвержденной указанным постановлением:</w:t>
      </w:r>
    </w:p>
    <w:bookmarkEnd w:id="2"/>
    <w:bookmarkStart w:name="z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2</w:t>
      </w:r>
      <w:r>
        <w:rPr>
          <w:rFonts w:ascii="Times New Roman"/>
          <w:b w:val="false"/>
          <w:i w:val="false"/>
          <w:color w:val="000000"/>
          <w:sz w:val="28"/>
        </w:rPr>
        <w:t xml:space="preserve"> "Анализ текущей ситуации":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w:t>
      </w:r>
      <w:r>
        <w:rPr>
          <w:rFonts w:ascii="Times New Roman"/>
          <w:b w:val="false"/>
          <w:i w:val="false"/>
          <w:color w:val="000000"/>
          <w:sz w:val="28"/>
        </w:rPr>
        <w:t xml:space="preserve"> "2. Проблемы развития малого и среднего предпринимательства в Республике Казахстан" изложить в следующей редакции:</w:t>
      </w:r>
    </w:p>
    <w:bookmarkStart w:name="z8" w:id="4"/>
    <w:p>
      <w:pPr>
        <w:spacing w:after="0"/>
        <w:ind w:left="0"/>
        <w:jc w:val="both"/>
      </w:pPr>
      <w:r>
        <w:rPr>
          <w:rFonts w:ascii="Times New Roman"/>
          <w:b w:val="false"/>
          <w:i w:val="false"/>
          <w:color w:val="000000"/>
          <w:sz w:val="28"/>
        </w:rPr>
        <w:t>
      "Глава 2. Проблемы развития малого и среднего предпринимательства в Республике Казахстан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Национальным планом</w:t>
      </w:r>
      <w:r>
        <w:rPr>
          <w:rFonts w:ascii="Times New Roman"/>
          <w:b w:val="false"/>
          <w:i w:val="false"/>
          <w:color w:val="000000"/>
          <w:sz w:val="28"/>
        </w:rPr>
        <w:t xml:space="preserve"> развития Республики Казахстан до 2025 года, утвержденным Указом Президента Республики Казахстан от 18 февраля 2018 года № 636 (далее – НПР), определены общенациональные приоритеты развития Республики Казахстан, направленные на построение диверсифицированной и инновационной экономики. Вместе с тем реализация текущей политики в отношении развития МСП не в полной мере корреспондируется с указанной целью.</w:t>
      </w:r>
    </w:p>
    <w:bookmarkStart w:name="z10" w:id="5"/>
    <w:p>
      <w:pPr>
        <w:spacing w:after="0"/>
        <w:ind w:left="0"/>
        <w:jc w:val="both"/>
      </w:pPr>
      <w:r>
        <w:rPr>
          <w:rFonts w:ascii="Times New Roman"/>
          <w:b w:val="false"/>
          <w:i w:val="false"/>
          <w:color w:val="000000"/>
          <w:sz w:val="28"/>
        </w:rPr>
        <w:t>
      Во-первых, проводимое государственными органами регулирование в соответствующих сферах не в полной мере учитывает, что отношение к предпринимательству зависит от культивируемых в обществе ценностей, мотивации людей и качества человеческого капитала, в связи с чем отсутствуют предпосылки для повышения роста добровольного предпринимательства.</w:t>
      </w:r>
    </w:p>
    <w:bookmarkEnd w:id="5"/>
    <w:bookmarkStart w:name="z11" w:id="6"/>
    <w:p>
      <w:pPr>
        <w:spacing w:after="0"/>
        <w:ind w:left="0"/>
        <w:jc w:val="both"/>
      </w:pPr>
      <w:r>
        <w:rPr>
          <w:rFonts w:ascii="Times New Roman"/>
          <w:b w:val="false"/>
          <w:i w:val="false"/>
          <w:color w:val="000000"/>
          <w:sz w:val="28"/>
        </w:rPr>
        <w:t>
      Во-вторых, текущее состояние институциональной среды сдерживает предпринимательскую активность.</w:t>
      </w:r>
    </w:p>
    <w:bookmarkEnd w:id="6"/>
    <w:bookmarkStart w:name="z12" w:id="7"/>
    <w:p>
      <w:pPr>
        <w:spacing w:after="0"/>
        <w:ind w:left="0"/>
        <w:jc w:val="both"/>
      </w:pPr>
      <w:r>
        <w:rPr>
          <w:rFonts w:ascii="Times New Roman"/>
          <w:b w:val="false"/>
          <w:i w:val="false"/>
          <w:color w:val="000000"/>
          <w:sz w:val="28"/>
        </w:rPr>
        <w:t>
      Приведенный выше анализ институциональных условий развития МСП свидетельствует о наличии ряда проблем, выраженных в незащищенности собственности бизнеса (высокий риск конфискации), недостаточно развитой конкуренции, прямом и косвенном вмешательстве в ценообразование, что в свою очередь не обеспечивает роста предпринимательской активности.</w:t>
      </w:r>
    </w:p>
    <w:bookmarkEnd w:id="7"/>
    <w:bookmarkStart w:name="z13" w:id="8"/>
    <w:p>
      <w:pPr>
        <w:spacing w:after="0"/>
        <w:ind w:left="0"/>
        <w:jc w:val="both"/>
      </w:pPr>
      <w:r>
        <w:rPr>
          <w:rFonts w:ascii="Times New Roman"/>
          <w:b w:val="false"/>
          <w:i w:val="false"/>
          <w:color w:val="000000"/>
          <w:sz w:val="28"/>
        </w:rPr>
        <w:t>
      Кроме того, система административно-правового регулирования в отдельных отраслях и сферах остается недружественной по отношению к небольшим предприятиям и не учитывает специфику ведения предпринимательской деятельности в рамках малых форм хозяйствования.</w:t>
      </w:r>
    </w:p>
    <w:bookmarkEnd w:id="8"/>
    <w:bookmarkStart w:name="z14" w:id="9"/>
    <w:p>
      <w:pPr>
        <w:spacing w:after="0"/>
        <w:ind w:left="0"/>
        <w:jc w:val="both"/>
      </w:pPr>
      <w:r>
        <w:rPr>
          <w:rFonts w:ascii="Times New Roman"/>
          <w:b w:val="false"/>
          <w:i w:val="false"/>
          <w:color w:val="000000"/>
          <w:sz w:val="28"/>
        </w:rPr>
        <w:t>
      В сочетании с высоким уровнем фискальной нагрузки указанные обстоятельства не позволяют предприятиям, находящимся на начальных этапах деятельности, увеличить рынок сбыта продукции, повысить доходность и таким образом обеспечить переход из микробизнеса в малый или средний бизнес.</w:t>
      </w:r>
    </w:p>
    <w:bookmarkEnd w:id="9"/>
    <w:bookmarkStart w:name="z15" w:id="10"/>
    <w:p>
      <w:pPr>
        <w:spacing w:after="0"/>
        <w:ind w:left="0"/>
        <w:jc w:val="both"/>
      </w:pPr>
      <w:r>
        <w:rPr>
          <w:rFonts w:ascii="Times New Roman"/>
          <w:b w:val="false"/>
          <w:i w:val="false"/>
          <w:color w:val="000000"/>
          <w:sz w:val="28"/>
        </w:rPr>
        <w:t>
      В-третьих, бизнес-климат по-прежнему остается сложным и непредсказуемым.</w:t>
      </w:r>
    </w:p>
    <w:bookmarkEnd w:id="10"/>
    <w:bookmarkStart w:name="z16" w:id="11"/>
    <w:p>
      <w:pPr>
        <w:spacing w:after="0"/>
        <w:ind w:left="0"/>
        <w:jc w:val="both"/>
      </w:pPr>
      <w:r>
        <w:rPr>
          <w:rFonts w:ascii="Times New Roman"/>
          <w:b w:val="false"/>
          <w:i w:val="false"/>
          <w:color w:val="000000"/>
          <w:sz w:val="28"/>
        </w:rPr>
        <w:t>
      Продолжающиеся рост регуляторной нагрузки, наличие административных барьеров, связанных с входом субъектов МСП на соответствующий рынок и процессами ведения ими бизнеса, не коррелируется с целями государственной политики по развитию предпринимательства, направленными на тотальное смягчение государственного регулирования предпринимательской деятельности.</w:t>
      </w:r>
    </w:p>
    <w:bookmarkEnd w:id="11"/>
    <w:bookmarkStart w:name="z17" w:id="12"/>
    <w:p>
      <w:pPr>
        <w:spacing w:after="0"/>
        <w:ind w:left="0"/>
        <w:jc w:val="both"/>
      </w:pPr>
      <w:r>
        <w:rPr>
          <w:rFonts w:ascii="Times New Roman"/>
          <w:b w:val="false"/>
          <w:i w:val="false"/>
          <w:color w:val="000000"/>
          <w:sz w:val="28"/>
        </w:rPr>
        <w:t>
      В-четвертых, текущая структура государственной поддержки снижает эффективность государственной политики.</w:t>
      </w:r>
    </w:p>
    <w:bookmarkEnd w:id="12"/>
    <w:bookmarkStart w:name="z18" w:id="13"/>
    <w:p>
      <w:pPr>
        <w:spacing w:after="0"/>
        <w:ind w:left="0"/>
        <w:jc w:val="both"/>
      </w:pPr>
      <w:r>
        <w:rPr>
          <w:rFonts w:ascii="Times New Roman"/>
          <w:b w:val="false"/>
          <w:i w:val="false"/>
          <w:color w:val="000000"/>
          <w:sz w:val="28"/>
        </w:rPr>
        <w:t>
      Этому способствуют несколько факторов:</w:t>
      </w:r>
    </w:p>
    <w:bookmarkEnd w:id="13"/>
    <w:bookmarkStart w:name="z19" w:id="14"/>
    <w:p>
      <w:pPr>
        <w:spacing w:after="0"/>
        <w:ind w:left="0"/>
        <w:jc w:val="both"/>
      </w:pPr>
      <w:r>
        <w:rPr>
          <w:rFonts w:ascii="Times New Roman"/>
          <w:b w:val="false"/>
          <w:i w:val="false"/>
          <w:color w:val="000000"/>
          <w:sz w:val="28"/>
        </w:rPr>
        <w:t>
      ориентированность на количественный охват субъектов МСП, а не качественный, что порождает неэффективное расходование ограниченных государственных ресурсов и появление иждивенческого настроения у бизнеса;</w:t>
      </w:r>
    </w:p>
    <w:bookmarkEnd w:id="14"/>
    <w:bookmarkStart w:name="z20" w:id="15"/>
    <w:p>
      <w:pPr>
        <w:spacing w:after="0"/>
        <w:ind w:left="0"/>
        <w:jc w:val="both"/>
      </w:pPr>
      <w:r>
        <w:rPr>
          <w:rFonts w:ascii="Times New Roman"/>
          <w:b w:val="false"/>
          <w:i w:val="false"/>
          <w:color w:val="000000"/>
          <w:sz w:val="28"/>
        </w:rPr>
        <w:t>
      отсутствие дифференцированного подхода при поддержке субъектов разных категорий (микро, малый, средний), что создает трудности для прохождения всех этапов жизненного цикла;</w:t>
      </w:r>
    </w:p>
    <w:bookmarkEnd w:id="15"/>
    <w:bookmarkStart w:name="z21" w:id="16"/>
    <w:p>
      <w:pPr>
        <w:spacing w:after="0"/>
        <w:ind w:left="0"/>
        <w:jc w:val="both"/>
      </w:pPr>
      <w:r>
        <w:rPr>
          <w:rFonts w:ascii="Times New Roman"/>
          <w:b w:val="false"/>
          <w:i w:val="false"/>
          <w:color w:val="000000"/>
          <w:sz w:val="28"/>
        </w:rPr>
        <w:t>
      несоразмерные встречные обязательства;</w:t>
      </w:r>
    </w:p>
    <w:bookmarkEnd w:id="16"/>
    <w:bookmarkStart w:name="z22" w:id="17"/>
    <w:p>
      <w:pPr>
        <w:spacing w:after="0"/>
        <w:ind w:left="0"/>
        <w:jc w:val="both"/>
      </w:pPr>
      <w:r>
        <w:rPr>
          <w:rFonts w:ascii="Times New Roman"/>
          <w:b w:val="false"/>
          <w:i w:val="false"/>
          <w:color w:val="000000"/>
          <w:sz w:val="28"/>
        </w:rPr>
        <w:t>
      отсутствие в мерах поддержки учета отраслевой специфики на уровне регионов, включая районы в области и города областного значения;</w:t>
      </w:r>
    </w:p>
    <w:bookmarkEnd w:id="17"/>
    <w:bookmarkStart w:name="z23" w:id="18"/>
    <w:p>
      <w:pPr>
        <w:spacing w:after="0"/>
        <w:ind w:left="0"/>
        <w:jc w:val="both"/>
      </w:pPr>
      <w:r>
        <w:rPr>
          <w:rFonts w:ascii="Times New Roman"/>
          <w:b w:val="false"/>
          <w:i w:val="false"/>
          <w:color w:val="000000"/>
          <w:sz w:val="28"/>
        </w:rPr>
        <w:t>
      превалирующий упор на финансовые меры поддержки, однако нефинансовые меры способны решить проблемы МСП с повышением компетенций и усилением факторов конкурентоспособности, не связанных со стоимостью заемного капитала.</w:t>
      </w:r>
    </w:p>
    <w:bookmarkEnd w:id="18"/>
    <w:bookmarkStart w:name="z24" w:id="19"/>
    <w:p>
      <w:pPr>
        <w:spacing w:after="0"/>
        <w:ind w:left="0"/>
        <w:jc w:val="both"/>
      </w:pPr>
      <w:r>
        <w:rPr>
          <w:rFonts w:ascii="Times New Roman"/>
          <w:b w:val="false"/>
          <w:i w:val="false"/>
          <w:color w:val="000000"/>
          <w:sz w:val="28"/>
        </w:rPr>
        <w:t>
      Учитывая обозначенные стратегические ориентиры по взращиванию среднего бизнеса, необходимо переориентировать действующую систему мер государственной поддержки в сторону качества, а именно поддержки конкурентоспособных компаний.</w:t>
      </w:r>
    </w:p>
    <w:bookmarkEnd w:id="19"/>
    <w:bookmarkStart w:name="z25" w:id="20"/>
    <w:p>
      <w:pPr>
        <w:spacing w:after="0"/>
        <w:ind w:left="0"/>
        <w:jc w:val="both"/>
      </w:pPr>
      <w:r>
        <w:rPr>
          <w:rFonts w:ascii="Times New Roman"/>
          <w:b w:val="false"/>
          <w:i w:val="false"/>
          <w:color w:val="000000"/>
          <w:sz w:val="28"/>
        </w:rPr>
        <w:t>
      В-пятых, отсутствует нормативное обеспечение прозрачности всего процесса оказания мер государственной поддержки "от выделения средств до доведения их до конечного получателя".</w:t>
      </w:r>
    </w:p>
    <w:bookmarkEnd w:id="20"/>
    <w:bookmarkStart w:name="z26" w:id="21"/>
    <w:p>
      <w:pPr>
        <w:spacing w:after="0"/>
        <w:ind w:left="0"/>
        <w:jc w:val="both"/>
      </w:pPr>
      <w:r>
        <w:rPr>
          <w:rFonts w:ascii="Times New Roman"/>
          <w:b w:val="false"/>
          <w:i w:val="false"/>
          <w:color w:val="000000"/>
          <w:sz w:val="28"/>
        </w:rPr>
        <w:t>
      Отсутствие достоверной информации о конечных получателях мер государственной поддержки (данные о целевом освоении средств), которая по объективным причинам не раскрывается операторами и (или) финансовыми институтами, а также законодательных требований по раскрытию данной информации негативно сказывается на прослеживаемости качества и эффективности мер государственной поддержки.</w:t>
      </w:r>
    </w:p>
    <w:bookmarkEnd w:id="21"/>
    <w:bookmarkStart w:name="z27" w:id="22"/>
    <w:p>
      <w:pPr>
        <w:spacing w:after="0"/>
        <w:ind w:left="0"/>
        <w:jc w:val="both"/>
      </w:pPr>
      <w:r>
        <w:rPr>
          <w:rFonts w:ascii="Times New Roman"/>
          <w:b w:val="false"/>
          <w:i w:val="false"/>
          <w:color w:val="000000"/>
          <w:sz w:val="28"/>
        </w:rPr>
        <w:t>
      Также отсутствует открытый единый реестр получателей мер государственной поддержки, позволяющий аккумулировать сведения о ранее представленных мерах государственной поддержки, в том числе для оценки эффективности выделяемых средств и поддержки принятия решений по выдаваемым средствам.</w:t>
      </w:r>
    </w:p>
    <w:bookmarkEnd w:id="22"/>
    <w:bookmarkStart w:name="z28" w:id="23"/>
    <w:p>
      <w:pPr>
        <w:spacing w:after="0"/>
        <w:ind w:left="0"/>
        <w:jc w:val="both"/>
      </w:pPr>
      <w:r>
        <w:rPr>
          <w:rFonts w:ascii="Times New Roman"/>
          <w:b w:val="false"/>
          <w:i w:val="false"/>
          <w:color w:val="000000"/>
          <w:sz w:val="28"/>
        </w:rPr>
        <w:t>
      Так, к примеру, органы государственного аудита вынуждены готовить суждения о качестве и эффективности мер государственной поддержки, используя только общедоступную информацию о получателях мер государственной поддержки или обобщенную информацию.";</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w:t>
      </w:r>
      <w:r>
        <w:rPr>
          <w:rFonts w:ascii="Times New Roman"/>
          <w:b w:val="false"/>
          <w:i w:val="false"/>
          <w:color w:val="000000"/>
          <w:sz w:val="28"/>
        </w:rPr>
        <w:t xml:space="preserve"> "3 Обзор международного опыта" изложить в следующей редакций:</w:t>
      </w:r>
    </w:p>
    <w:bookmarkStart w:name="z30" w:id="24"/>
    <w:p>
      <w:pPr>
        <w:spacing w:after="0"/>
        <w:ind w:left="0"/>
        <w:jc w:val="both"/>
      </w:pPr>
      <w:r>
        <w:rPr>
          <w:rFonts w:ascii="Times New Roman"/>
          <w:b w:val="false"/>
          <w:i w:val="false"/>
          <w:color w:val="000000"/>
          <w:sz w:val="28"/>
        </w:rPr>
        <w:t>
      "Раздел 3. Обзор международного опыта</w:t>
      </w:r>
    </w:p>
    <w:bookmarkEnd w:id="24"/>
    <w:bookmarkStart w:name="z31" w:id="25"/>
    <w:p>
      <w:pPr>
        <w:spacing w:after="0"/>
        <w:ind w:left="0"/>
        <w:jc w:val="both"/>
      </w:pPr>
      <w:r>
        <w:rPr>
          <w:rFonts w:ascii="Times New Roman"/>
          <w:b w:val="false"/>
          <w:i w:val="false"/>
          <w:color w:val="000000"/>
          <w:sz w:val="28"/>
        </w:rPr>
        <w:t>
      Международный опыт передовых зарубежных практик показывает, что качественно проработанная политика развития МСП – выход из бедности и снижение неформальной экономики. По мере роста экономического богатства и перехода от уровня развивающейся страны с доходами ниже среднего к уровню развивающейся страны с доходами выше среднего и высокими, целеполагание смещается в сторону участия МСП в устойчивом экономическом развитии, диверсификации экономики, росте экспорта, инноваций и креативных индустрий. Сравнительный анализ формальных институциональных условий, важных для развития бизнеса, позволяет выделить решения, возможные для адаптации в Казахстане.</w:t>
      </w:r>
    </w:p>
    <w:bookmarkEnd w:id="25"/>
    <w:bookmarkStart w:name="z32" w:id="26"/>
    <w:p>
      <w:pPr>
        <w:spacing w:after="0"/>
        <w:ind w:left="0"/>
        <w:jc w:val="both"/>
      </w:pPr>
      <w:r>
        <w:rPr>
          <w:rFonts w:ascii="Times New Roman"/>
          <w:b w:val="false"/>
          <w:i w:val="false"/>
          <w:color w:val="000000"/>
          <w:sz w:val="28"/>
        </w:rPr>
        <w:t>
      В части предоставления экономических свобод, снижения административных барьеров, искажения ценообразования и развития конкуренции опыт стран Кавказа представляется наиболее привлекательным, поскольку показывает как в условиях трансформации институтов можно стимулировать предпринимательскую активность.</w:t>
      </w:r>
    </w:p>
    <w:bookmarkEnd w:id="26"/>
    <w:bookmarkStart w:name="z33" w:id="27"/>
    <w:p>
      <w:pPr>
        <w:spacing w:after="0"/>
        <w:ind w:left="0"/>
        <w:jc w:val="both"/>
      </w:pPr>
      <w:r>
        <w:rPr>
          <w:rFonts w:ascii="Times New Roman"/>
          <w:b w:val="false"/>
          <w:i w:val="false"/>
          <w:color w:val="000000"/>
          <w:sz w:val="28"/>
        </w:rPr>
        <w:t>
      К примеру, опыт Армении по снижению административных барьеров наиболее иллюстративен. Армения является партнером Казахстана по Евразийскому экономическому союзу (далее – ЕАЭС) и имеет схожий уровень свобод в фискальном размере государства с Казахстаном. При этом Армения, имея интегральный рейтинг ниже Казахстана, демонстрирует лучшие показатели по ряду критериев. Армения смогла улучшить показатели в 2018 – 2019 годах, сократив количество процедур, их время и стоимость в "открытии бизнеса" (с 4 процедур до 3, с 5 дней до 4), "подключении к электричеству" (с 6 процедур до 2-3), "получении разрешения на строительство" (время – со 102,5 дней до 99, стоимость – с 2,1 % до 1,3-1,6 % складской стоимости) и "выпуске решения по неплатежеспособности" (стоимость – с 15 % до 11 % имущества).</w:t>
      </w:r>
    </w:p>
    <w:bookmarkEnd w:id="27"/>
    <w:bookmarkStart w:name="z34" w:id="28"/>
    <w:p>
      <w:pPr>
        <w:spacing w:after="0"/>
        <w:ind w:left="0"/>
        <w:jc w:val="both"/>
      </w:pPr>
      <w:r>
        <w:rPr>
          <w:rFonts w:ascii="Times New Roman"/>
          <w:b w:val="false"/>
          <w:i w:val="false"/>
          <w:color w:val="000000"/>
          <w:sz w:val="28"/>
        </w:rPr>
        <w:t>
      В части подключения к электричеству Армения установила строгие сроки для государственных органов по длительности первого подключения. В то время как Армения освободила проекты с низким риском от требований по согласованию архитектурных чертежей с независимыми экспертами квалификационные требования для архитекторов и инженеров ужесточились в 2020 году.</w:t>
      </w:r>
    </w:p>
    <w:bookmarkEnd w:id="28"/>
    <w:bookmarkStart w:name="z35" w:id="29"/>
    <w:p>
      <w:pPr>
        <w:spacing w:after="0"/>
        <w:ind w:left="0"/>
        <w:jc w:val="both"/>
      </w:pPr>
      <w:r>
        <w:rPr>
          <w:rFonts w:ascii="Times New Roman"/>
          <w:b w:val="false"/>
          <w:i w:val="false"/>
          <w:color w:val="000000"/>
          <w:sz w:val="28"/>
        </w:rPr>
        <w:t>
      В этой связи, учитывая, что НПР определена необходимость дальнейшего сокращения административных барьеров по процессам ведения бизнеса, данный опыт представляется применимым в Казахстане.</w:t>
      </w:r>
    </w:p>
    <w:bookmarkEnd w:id="29"/>
    <w:bookmarkStart w:name="z36" w:id="30"/>
    <w:p>
      <w:pPr>
        <w:spacing w:after="0"/>
        <w:ind w:left="0"/>
        <w:jc w:val="both"/>
      </w:pPr>
      <w:r>
        <w:rPr>
          <w:rFonts w:ascii="Times New Roman"/>
          <w:b w:val="false"/>
          <w:i w:val="false"/>
          <w:color w:val="000000"/>
          <w:sz w:val="28"/>
        </w:rPr>
        <w:t>
      Опыт Грузии наиболее применим в области предоставления свободы инвестиций и установления справедливой конкуренции.</w:t>
      </w:r>
    </w:p>
    <w:bookmarkEnd w:id="30"/>
    <w:bookmarkStart w:name="z37" w:id="31"/>
    <w:p>
      <w:pPr>
        <w:spacing w:after="0"/>
        <w:ind w:left="0"/>
        <w:jc w:val="both"/>
      </w:pPr>
      <w:r>
        <w:rPr>
          <w:rFonts w:ascii="Times New Roman"/>
          <w:b w:val="false"/>
          <w:i w:val="false"/>
          <w:color w:val="000000"/>
          <w:sz w:val="28"/>
        </w:rPr>
        <w:t>
      Так, после реформ 2000-х годов Грузия смогла резко подняться в ИЭС в сфере свободы инвестиций, что обусловлено ускоренной приватизацией, особенно сферы здравоохранения. В 2011 году в Грузии также был принят "Органический закон об экономической свободе", который охватывал экономические и гражданские свободы населения и ограничения государственного вмешательства. Согласно этому Закону Грузия сняла ограничения на движение капитала (конвертация валюты, вывоз денежных средств за пределы Грузии) для резидентов и нерезидентов.</w:t>
      </w:r>
    </w:p>
    <w:bookmarkEnd w:id="31"/>
    <w:bookmarkStart w:name="z38" w:id="32"/>
    <w:p>
      <w:pPr>
        <w:spacing w:after="0"/>
        <w:ind w:left="0"/>
        <w:jc w:val="both"/>
      </w:pPr>
      <w:r>
        <w:rPr>
          <w:rFonts w:ascii="Times New Roman"/>
          <w:b w:val="false"/>
          <w:i w:val="false"/>
          <w:color w:val="000000"/>
          <w:sz w:val="28"/>
        </w:rPr>
        <w:t>
      При таких обстоятельствах в сравнении с Казахстаном опыт Грузии, связанный с обеспечением привлекательного инвестиционного климата, представляется более позитивным.</w:t>
      </w:r>
    </w:p>
    <w:bookmarkEnd w:id="32"/>
    <w:bookmarkStart w:name="z39" w:id="33"/>
    <w:p>
      <w:pPr>
        <w:spacing w:after="0"/>
        <w:ind w:left="0"/>
        <w:jc w:val="both"/>
      </w:pPr>
      <w:r>
        <w:rPr>
          <w:rFonts w:ascii="Times New Roman"/>
          <w:b w:val="false"/>
          <w:i w:val="false"/>
          <w:color w:val="000000"/>
          <w:sz w:val="28"/>
        </w:rPr>
        <w:t>
      В части защиты прав собственности наиболее ярким примером служит опыт Перу по формализации прав собственности в начале 1990-х годов. За первые три года программы формализации было зарегистрировано более 150 тысяч объектов ранее неформальной собственности. Основным элементом успеха реформы была низкая стоимость регистрации неформального имущества (без штрафов), что было субсидировано государством в виде необходимости для сокращения транзакционных издержек перехода из теневого сектора. Система имела наименьшее количество процедур для регистрации имущества, что являлось привлекательным для бедного населения, но в то же время мотивировало его к регистрации через информирование на местном уровне о преимуществах формализации.</w:t>
      </w:r>
    </w:p>
    <w:bookmarkEnd w:id="33"/>
    <w:bookmarkStart w:name="z40" w:id="34"/>
    <w:p>
      <w:pPr>
        <w:spacing w:after="0"/>
        <w:ind w:left="0"/>
        <w:jc w:val="both"/>
      </w:pPr>
      <w:r>
        <w:rPr>
          <w:rFonts w:ascii="Times New Roman"/>
          <w:b w:val="false"/>
          <w:i w:val="false"/>
          <w:color w:val="000000"/>
          <w:sz w:val="28"/>
        </w:rPr>
        <w:t>
      Кроме того, Малайзия также является примером успешных реформ в части защиты прав собственности, в особенности, интеллектуальной. Так, в 2011 – 2013 годах Малайзия сумела сократить время процедуры передачи прав на имущество с 41 до 2 дней путем внедрения электронной системы регистрации и оплаты государственной пошлины.</w:t>
      </w:r>
    </w:p>
    <w:bookmarkEnd w:id="34"/>
    <w:bookmarkStart w:name="z41" w:id="35"/>
    <w:p>
      <w:pPr>
        <w:spacing w:after="0"/>
        <w:ind w:left="0"/>
        <w:jc w:val="both"/>
      </w:pPr>
      <w:r>
        <w:rPr>
          <w:rFonts w:ascii="Times New Roman"/>
          <w:b w:val="false"/>
          <w:i w:val="false"/>
          <w:color w:val="000000"/>
          <w:sz w:val="28"/>
        </w:rPr>
        <w:t>
      В свою очередь, применение подобных практик в Казахстане исключит стимулы к уходу бизнеса в теневой сектор экономики, создаст условия для ведения добросовестного "прозрачного" бизнеса.</w:t>
      </w:r>
    </w:p>
    <w:bookmarkEnd w:id="35"/>
    <w:bookmarkStart w:name="z42" w:id="36"/>
    <w:p>
      <w:pPr>
        <w:spacing w:after="0"/>
        <w:ind w:left="0"/>
        <w:jc w:val="both"/>
      </w:pPr>
      <w:r>
        <w:rPr>
          <w:rFonts w:ascii="Times New Roman"/>
          <w:b w:val="false"/>
          <w:i w:val="false"/>
          <w:color w:val="000000"/>
          <w:sz w:val="28"/>
        </w:rPr>
        <w:t>
      В сфере развития института интеллектуальной собственности важным фактором послужили вступление в 2012 году Малайзии в World Intellectual Property Organization (WIPO) и подписание множества международных соглашений в сфере защиты патентов, товарных знаков и авторского права. Такого рода интеграция в глобальное информационное пространство позволила открыть доступ локальным предпринимателям к существующим изобретениям и инновациям, находить и регистрировать ниши.</w:t>
      </w:r>
    </w:p>
    <w:bookmarkEnd w:id="36"/>
    <w:bookmarkStart w:name="z43" w:id="37"/>
    <w:p>
      <w:pPr>
        <w:spacing w:after="0"/>
        <w:ind w:left="0"/>
        <w:jc w:val="both"/>
      </w:pPr>
      <w:r>
        <w:rPr>
          <w:rFonts w:ascii="Times New Roman"/>
          <w:b w:val="false"/>
          <w:i w:val="false"/>
          <w:color w:val="000000"/>
          <w:sz w:val="28"/>
        </w:rPr>
        <w:t>
      Применение подобной практики в казахстанских реалиях позволит обеспечить условия для дальнейшего развития интеллектуальной собственности, открыть новые формы ее реализации и обеспечить импортирование объектов интеллектуальной собственности на внешние рынки.</w:t>
      </w:r>
    </w:p>
    <w:bookmarkEnd w:id="37"/>
    <w:bookmarkStart w:name="z44" w:id="38"/>
    <w:p>
      <w:pPr>
        <w:spacing w:after="0"/>
        <w:ind w:left="0"/>
        <w:jc w:val="both"/>
      </w:pPr>
      <w:r>
        <w:rPr>
          <w:rFonts w:ascii="Times New Roman"/>
          <w:b w:val="false"/>
          <w:i w:val="false"/>
          <w:color w:val="000000"/>
          <w:sz w:val="28"/>
        </w:rPr>
        <w:t>
      В части предотвращения коррупции на государственной службе, в судебной системе и правоохранительных органах наиболее ярким является опыт Грузии, которая, начиная с 2000-х годов, продолжает совершенствовать элементы верховенства права, и единственная в регионе имеет высокие показатели ИЭС на уровне развитых стран ОЭСР.</w:t>
      </w:r>
    </w:p>
    <w:bookmarkEnd w:id="38"/>
    <w:bookmarkStart w:name="z45" w:id="39"/>
    <w:p>
      <w:pPr>
        <w:spacing w:after="0"/>
        <w:ind w:left="0"/>
        <w:jc w:val="both"/>
      </w:pPr>
      <w:r>
        <w:rPr>
          <w:rFonts w:ascii="Times New Roman"/>
          <w:b w:val="false"/>
          <w:i w:val="false"/>
          <w:color w:val="000000"/>
          <w:sz w:val="28"/>
        </w:rPr>
        <w:t>
      В 2000 году в Грузии образован филиал неправительственной организации Transparency International Georgia (TI Georgia), которая проводит независимый анализ мер по предотвращению коррупции, мониторинг исполнения инициатив государства по борьбе с коррупцией на всех уровнях.</w:t>
      </w:r>
    </w:p>
    <w:bookmarkEnd w:id="39"/>
    <w:bookmarkStart w:name="z46" w:id="40"/>
    <w:p>
      <w:pPr>
        <w:spacing w:after="0"/>
        <w:ind w:left="0"/>
        <w:jc w:val="both"/>
      </w:pPr>
      <w:r>
        <w:rPr>
          <w:rFonts w:ascii="Times New Roman"/>
          <w:b w:val="false"/>
          <w:i w:val="false"/>
          <w:color w:val="000000"/>
          <w:sz w:val="28"/>
        </w:rPr>
        <w:t>
      Важным отличием от Казахстана является то, что Грузия обеспечивает наибольший уровень прозрачности информации среди стран региона, занимая второе место (после Новой Зеландии) в мире в рейтинге доступа общественности к бюджетной информации. В 2012 году создана унифицированная публичная информационная система, в которую государственные органы обязаны вносить данные бюджетов и закупок. Проект проведен в рамках вхождения Грузии в международную организацию "Открытое правительство", созданную в 2011 году, нацеленную на утверждение идеалов открытого государства, развитие административного профессионализма, открытого гражданского контроля.</w:t>
      </w:r>
    </w:p>
    <w:bookmarkEnd w:id="40"/>
    <w:bookmarkStart w:name="z47" w:id="41"/>
    <w:p>
      <w:pPr>
        <w:spacing w:after="0"/>
        <w:ind w:left="0"/>
        <w:jc w:val="both"/>
      </w:pPr>
      <w:r>
        <w:rPr>
          <w:rFonts w:ascii="Times New Roman"/>
          <w:b w:val="false"/>
          <w:i w:val="false"/>
          <w:color w:val="000000"/>
          <w:sz w:val="28"/>
        </w:rPr>
        <w:t>
      На сегодняшний день законодательством большинства стран разрешено исключение из банковской тайны сведений в отношении государственных органов и их должностных лиц.</w:t>
      </w:r>
    </w:p>
    <w:bookmarkEnd w:id="41"/>
    <w:bookmarkStart w:name="z48" w:id="42"/>
    <w:p>
      <w:pPr>
        <w:spacing w:after="0"/>
        <w:ind w:left="0"/>
        <w:jc w:val="both"/>
      </w:pPr>
      <w:r>
        <w:rPr>
          <w:rFonts w:ascii="Times New Roman"/>
          <w:b w:val="false"/>
          <w:i w:val="false"/>
          <w:color w:val="000000"/>
          <w:sz w:val="28"/>
        </w:rPr>
        <w:t>
      Раскрытие информации, отнесенной к банковской тайне, осуществляется для правоохранительных органов, органов судебной власти, фискальных (налоговых) органов. Согласно Закону Франции 1984 года "О банках и банковской деятельности" сведения о клиентах и их счетах не могут скрываться от судебных органов, проводящих уголовное расследование. В соответствии с Общим налоговым кодексом Франции кредитные организации обязаны объявить налоговым службам об открытии и закрытии счетов вкладов ценных бумаг или денежных средств, текущих авансовых счетов и т.д. В то же время банковская тайна не является препятствием к получению сведений о лицах для налоговых органов Италии.</w:t>
      </w:r>
    </w:p>
    <w:bookmarkEnd w:id="42"/>
    <w:bookmarkStart w:name="z49" w:id="43"/>
    <w:p>
      <w:pPr>
        <w:spacing w:after="0"/>
        <w:ind w:left="0"/>
        <w:jc w:val="both"/>
      </w:pPr>
      <w:r>
        <w:rPr>
          <w:rFonts w:ascii="Times New Roman"/>
          <w:b w:val="false"/>
          <w:i w:val="false"/>
          <w:color w:val="000000"/>
          <w:sz w:val="28"/>
        </w:rPr>
        <w:t>
      В крупных и (или) неоднородных по территории странах, как правило, существует разделение полномочий и ответственности между центральным правительством и региональными властями.</w:t>
      </w:r>
    </w:p>
    <w:bookmarkEnd w:id="43"/>
    <w:bookmarkStart w:name="z50" w:id="44"/>
    <w:p>
      <w:pPr>
        <w:spacing w:after="0"/>
        <w:ind w:left="0"/>
        <w:jc w:val="both"/>
      </w:pPr>
      <w:r>
        <w:rPr>
          <w:rFonts w:ascii="Times New Roman"/>
          <w:b w:val="false"/>
          <w:i w:val="false"/>
          <w:color w:val="000000"/>
          <w:sz w:val="28"/>
        </w:rPr>
        <w:t>
      В ответственность центрального правительства входят обеспечение институциональных условий и регуляторная часть политики для развития МСП.</w:t>
      </w:r>
    </w:p>
    <w:bookmarkEnd w:id="44"/>
    <w:bookmarkStart w:name="z51" w:id="45"/>
    <w:p>
      <w:pPr>
        <w:spacing w:after="0"/>
        <w:ind w:left="0"/>
        <w:jc w:val="both"/>
      </w:pPr>
      <w:r>
        <w:rPr>
          <w:rFonts w:ascii="Times New Roman"/>
          <w:b w:val="false"/>
          <w:i w:val="false"/>
          <w:color w:val="000000"/>
          <w:sz w:val="28"/>
        </w:rPr>
        <w:t>
      Как правило, государства поощряют конкуренцию между регионами за предпринимателей с одной стороны и проводят дополнительные интервенции в отдельные регионы для решения задач национального уровня с другой. Особенно ярко эта практика проявляется в азиатских странах, использовавших стратегии догоняющего развития.</w:t>
      </w:r>
    </w:p>
    <w:bookmarkEnd w:id="45"/>
    <w:bookmarkStart w:name="z52" w:id="46"/>
    <w:p>
      <w:pPr>
        <w:spacing w:after="0"/>
        <w:ind w:left="0"/>
        <w:jc w:val="both"/>
      </w:pPr>
      <w:r>
        <w:rPr>
          <w:rFonts w:ascii="Times New Roman"/>
          <w:b w:val="false"/>
          <w:i w:val="false"/>
          <w:color w:val="000000"/>
          <w:sz w:val="28"/>
        </w:rPr>
        <w:t>
      Развитие специализированных территорий в виде индустриальных зон и парков, бизнес-инкубаторов и акселераторов, креативных парков и зон, другой специализированной инфраструктуры относится к компетенции местных властей, которые лучше понимают региональные особенности, конкурентные преимущества и потребности регионального предпринимательства. Децентрализация прав и ответственности тесно связана с фискальной и бюджетной децентрализацией.</w:t>
      </w:r>
    </w:p>
    <w:bookmarkEnd w:id="46"/>
    <w:bookmarkStart w:name="z53" w:id="47"/>
    <w:p>
      <w:pPr>
        <w:spacing w:after="0"/>
        <w:ind w:left="0"/>
        <w:jc w:val="both"/>
      </w:pPr>
      <w:r>
        <w:rPr>
          <w:rFonts w:ascii="Times New Roman"/>
          <w:b w:val="false"/>
          <w:i w:val="false"/>
          <w:color w:val="000000"/>
          <w:sz w:val="28"/>
        </w:rPr>
        <w:t>
      На уровне регионов могут создаваться собственные институты развития, фокусирующиеся на повышении инвестиционной привлекательности региона в целом и развитии МСП в частности.</w:t>
      </w:r>
    </w:p>
    <w:bookmarkEnd w:id="47"/>
    <w:bookmarkStart w:name="z54" w:id="48"/>
    <w:p>
      <w:pPr>
        <w:spacing w:after="0"/>
        <w:ind w:left="0"/>
        <w:jc w:val="both"/>
      </w:pPr>
      <w:r>
        <w:rPr>
          <w:rFonts w:ascii="Times New Roman"/>
          <w:b w:val="false"/>
          <w:i w:val="false"/>
          <w:color w:val="000000"/>
          <w:sz w:val="28"/>
        </w:rPr>
        <w:t>
      К примеру, в Республике Татарстан функционирует собственная экосистема по развитию МСП, в которую входят функции финансовой, информационно-консультационной, инновационной, имущественной поддержки предпринимательства. Таким образом, региональным властям переданы полномочия по поддержке экспорта, гарантирования, управления ИТ-парками, агропромпарками, промышленными парками и площадками, бизнес-инкубаторами в регионе.</w:t>
      </w:r>
    </w:p>
    <w:bookmarkEnd w:id="48"/>
    <w:bookmarkStart w:name="z55" w:id="49"/>
    <w:p>
      <w:pPr>
        <w:spacing w:after="0"/>
        <w:ind w:left="0"/>
        <w:jc w:val="both"/>
      </w:pPr>
      <w:r>
        <w:rPr>
          <w:rFonts w:ascii="Times New Roman"/>
          <w:b w:val="false"/>
          <w:i w:val="false"/>
          <w:color w:val="000000"/>
          <w:sz w:val="28"/>
        </w:rPr>
        <w:t>
      В Европейском Союзе (далее – ЕС) региональные институты развития являются ключевым звеном в развитии региональных предпринимательских экосистем. Региональные институты развития могут быть представлены государственными и неправительственными организациями, частными компаниями. Стоит отметить, что региональные институты развития в ЕС имеют большую автономность от центральных государственных органов, гибкость в принятии решений и обеспечивают межрегиональную (внутри страны) конкуренцию за создание условий для бизнеса по принципу "одного окна". При развитии региональных предпринимательских систем упор делается на межрегиональную кооперацию и коллаборацию для развития единого европейского рынка на принципах "Single Market". В 2020 году в ЕС был реализован проект "Содействие сотрудничеству европейских предпринимательских регионов через картирование и анализ взаимосвязей".</w:t>
      </w:r>
    </w:p>
    <w:bookmarkEnd w:id="49"/>
    <w:bookmarkStart w:name="z56" w:id="50"/>
    <w:p>
      <w:pPr>
        <w:spacing w:after="0"/>
        <w:ind w:left="0"/>
        <w:jc w:val="both"/>
      </w:pPr>
      <w:r>
        <w:rPr>
          <w:rFonts w:ascii="Times New Roman"/>
          <w:b w:val="false"/>
          <w:i w:val="false"/>
          <w:color w:val="000000"/>
          <w:sz w:val="28"/>
        </w:rPr>
        <w:t>
      В развивающихся странах интересны позитивный опыт и уроки стран ассоциации стран Юго-Восточной Азии (ASEAN). Основной урок – необходимость прозрачного и понятного разделения обязанностей между центром и регионами, не допускающего пересечения функций. Как правило, центральная власть ответственна за создание и формулирование политики, а региональные власти отвечают за ее реализацию.</w:t>
      </w:r>
    </w:p>
    <w:bookmarkEnd w:id="50"/>
    <w:bookmarkStart w:name="z57" w:id="51"/>
    <w:p>
      <w:pPr>
        <w:spacing w:after="0"/>
        <w:ind w:left="0"/>
        <w:jc w:val="both"/>
      </w:pPr>
      <w:r>
        <w:rPr>
          <w:rFonts w:ascii="Times New Roman"/>
          <w:b w:val="false"/>
          <w:i w:val="false"/>
          <w:color w:val="000000"/>
          <w:sz w:val="28"/>
        </w:rPr>
        <w:t>
      Применение перечисленных практик в части разделения полномочий и ответственности между центральным правительством и региональными властями представляется применимым в Казахстане, поскольку позволит более эффективно реализовывать государственную поддержку с учетом особенностей конкретного региона.</w:t>
      </w:r>
    </w:p>
    <w:bookmarkEnd w:id="51"/>
    <w:bookmarkStart w:name="z58" w:id="52"/>
    <w:p>
      <w:pPr>
        <w:spacing w:after="0"/>
        <w:ind w:left="0"/>
        <w:jc w:val="both"/>
      </w:pPr>
      <w:r>
        <w:rPr>
          <w:rFonts w:ascii="Times New Roman"/>
          <w:b w:val="false"/>
          <w:i w:val="false"/>
          <w:color w:val="000000"/>
          <w:sz w:val="28"/>
        </w:rPr>
        <w:t>
      В части распределения мер поддержки предпринимательства для усиления роста производительности наиболее привлекательным усматривается опыт следующих стран.</w:t>
      </w:r>
    </w:p>
    <w:bookmarkEnd w:id="52"/>
    <w:bookmarkStart w:name="z59" w:id="53"/>
    <w:p>
      <w:pPr>
        <w:spacing w:after="0"/>
        <w:ind w:left="0"/>
        <w:jc w:val="both"/>
      </w:pPr>
      <w:r>
        <w:rPr>
          <w:rFonts w:ascii="Times New Roman"/>
          <w:b w:val="false"/>
          <w:i w:val="false"/>
          <w:color w:val="000000"/>
          <w:sz w:val="28"/>
        </w:rPr>
        <w:t>
      В Мексике действует две программы развития в отношении двух типов МСП. Первая программа предназначена для начинающих предпринимателей, ориентированных на внутренний рынок, и МСП, работающих в зонах со сложными природными условиями. Вторая программа ориентирована на существующие МСП, нацеленные на внешние рынки.</w:t>
      </w:r>
    </w:p>
    <w:bookmarkEnd w:id="53"/>
    <w:bookmarkStart w:name="z60" w:id="54"/>
    <w:p>
      <w:pPr>
        <w:spacing w:after="0"/>
        <w:ind w:left="0"/>
        <w:jc w:val="both"/>
      </w:pPr>
      <w:r>
        <w:rPr>
          <w:rFonts w:ascii="Times New Roman"/>
          <w:b w:val="false"/>
          <w:i w:val="false"/>
          <w:color w:val="000000"/>
          <w:sz w:val="28"/>
        </w:rPr>
        <w:t>
      При этом предлагаемые в данных программах инструменты традиционны: от обучения до льготных кредитов и гарантирования займов.</w:t>
      </w:r>
    </w:p>
    <w:bookmarkEnd w:id="54"/>
    <w:bookmarkStart w:name="z61" w:id="55"/>
    <w:p>
      <w:pPr>
        <w:spacing w:after="0"/>
        <w:ind w:left="0"/>
        <w:jc w:val="both"/>
      </w:pPr>
      <w:r>
        <w:rPr>
          <w:rFonts w:ascii="Times New Roman"/>
          <w:b w:val="false"/>
          <w:i w:val="false"/>
          <w:color w:val="000000"/>
          <w:sz w:val="28"/>
        </w:rPr>
        <w:t>
      В Великобритании реализуется программа "Future Fifty" (2013), в рамках которой осуществляется отбор наиболее перспективных 50 цифровых технологических компаний, базирующихся в Великобритании. Отбор компаний осуществляется независимой панелью экспертов. Двухгодичный механизм поддержки руководителей высшего звена включает в себя такие меры, как обеспечение прямого контакта с ключевыми государственными учреждениями (поддержка по вопросам иммиграции, налогообложения), консультации и сервисное сопровождение (доступ к партнерской сети, классы и семинары с экспертами). За последнее десятилетие Tech Nation (ведущая платформа для развития технологий, связей, сотрудничества и талантов) сотрудничала с более чем 5000 компаний, ускорив развитие 1250 из них в рамках 48 программ роста.</w:t>
      </w:r>
    </w:p>
    <w:bookmarkEnd w:id="55"/>
    <w:bookmarkStart w:name="z62" w:id="56"/>
    <w:p>
      <w:pPr>
        <w:spacing w:after="0"/>
        <w:ind w:left="0"/>
        <w:jc w:val="both"/>
      </w:pPr>
      <w:r>
        <w:rPr>
          <w:rFonts w:ascii="Times New Roman"/>
          <w:b w:val="false"/>
          <w:i w:val="false"/>
          <w:color w:val="000000"/>
          <w:sz w:val="28"/>
        </w:rPr>
        <w:t>
      Эти компании в общей сложности привлекли 28,1 млрд фунтов стерлингов, обеспечив более 600 млн фунтов стерлингов в виде ВДС для экономики Великобритании.</w:t>
      </w:r>
    </w:p>
    <w:bookmarkEnd w:id="56"/>
    <w:bookmarkStart w:name="z63" w:id="57"/>
    <w:p>
      <w:pPr>
        <w:spacing w:after="0"/>
        <w:ind w:left="0"/>
        <w:jc w:val="both"/>
      </w:pPr>
      <w:r>
        <w:rPr>
          <w:rFonts w:ascii="Times New Roman"/>
          <w:b w:val="false"/>
          <w:i w:val="false"/>
          <w:color w:val="000000"/>
          <w:sz w:val="28"/>
        </w:rPr>
        <w:t>
      За последние 10 лет программа Future Fifty поддержала 23 % (30) из 130 технологических единорогов Великобритании, которые в совокупности собрали 16,3 млрд фунтов стерлингов. Тринадцать новых технологических компаний поздней стадии присоединились к программе Future Fifty на 2022 год.</w:t>
      </w:r>
    </w:p>
    <w:bookmarkEnd w:id="57"/>
    <w:bookmarkStart w:name="z64" w:id="58"/>
    <w:p>
      <w:pPr>
        <w:spacing w:after="0"/>
        <w:ind w:left="0"/>
        <w:jc w:val="both"/>
      </w:pPr>
      <w:r>
        <w:rPr>
          <w:rFonts w:ascii="Times New Roman"/>
          <w:b w:val="false"/>
          <w:i w:val="false"/>
          <w:color w:val="000000"/>
          <w:sz w:val="28"/>
        </w:rPr>
        <w:t>
      По итогам 2022 года доля МСП Великобритании в ВВП составил 51 %.</w:t>
      </w:r>
    </w:p>
    <w:bookmarkEnd w:id="58"/>
    <w:bookmarkStart w:name="z65" w:id="59"/>
    <w:p>
      <w:pPr>
        <w:spacing w:after="0"/>
        <w:ind w:left="0"/>
        <w:jc w:val="both"/>
      </w:pPr>
      <w:r>
        <w:rPr>
          <w:rFonts w:ascii="Times New Roman"/>
          <w:b w:val="false"/>
          <w:i w:val="false"/>
          <w:color w:val="000000"/>
          <w:sz w:val="28"/>
        </w:rPr>
        <w:t>
      Аналогичный подход по развитию конкурентоспособности местных компаний на глобальных рынках используется и в Сингапуре, в рамках программы "Global Company Partnership" (GCP). Данным компаниям предоставляется как финансовая, так и нефинансовая поддержка. В рамках финансовой поддержки производится покрытие до 70 % приемлемых расходов по увеличению присутствия на рынках или выхода на новые рынки. Также предусмотрены схемы страхования. Нефинансовая поддержка осуществляется путем покрытия расходов компании по развитию компетенций (включая стратегии интернационализации, брэндинга, дизайна, франчайзинга, лицензирования и др.). В программе могут принять участие сингапурские компании c экспортным потенциалом, наличием плана интернационализации и конкурентными продуктами или услугами, имеющими экономический эффект для страны.</w:t>
      </w:r>
    </w:p>
    <w:bookmarkEnd w:id="59"/>
    <w:bookmarkStart w:name="z66" w:id="60"/>
    <w:p>
      <w:pPr>
        <w:spacing w:after="0"/>
        <w:ind w:left="0"/>
        <w:jc w:val="both"/>
      </w:pPr>
      <w:r>
        <w:rPr>
          <w:rFonts w:ascii="Times New Roman"/>
          <w:b w:val="false"/>
          <w:i w:val="false"/>
          <w:color w:val="000000"/>
          <w:sz w:val="28"/>
        </w:rPr>
        <w:t>
      По итогам 2022 года доля МСП Сингапура в ВВП составил 48 %.</w:t>
      </w:r>
    </w:p>
    <w:bookmarkEnd w:id="60"/>
    <w:bookmarkStart w:name="z67" w:id="61"/>
    <w:p>
      <w:pPr>
        <w:spacing w:after="0"/>
        <w:ind w:left="0"/>
        <w:jc w:val="both"/>
      </w:pPr>
      <w:r>
        <w:rPr>
          <w:rFonts w:ascii="Times New Roman"/>
          <w:b w:val="false"/>
          <w:i w:val="false"/>
          <w:color w:val="000000"/>
          <w:sz w:val="28"/>
        </w:rPr>
        <w:t xml:space="preserve">
      Таким образом, международный опыт свидетельствует об эффективности применения подхода по поддержке конкурентоспособных компаний, преимущественно среднего размера, занятых в обрабатывающей промышленности и нацеленных на экспорт. </w:t>
      </w:r>
    </w:p>
    <w:bookmarkEnd w:id="61"/>
    <w:bookmarkStart w:name="z68" w:id="62"/>
    <w:p>
      <w:pPr>
        <w:spacing w:after="0"/>
        <w:ind w:left="0"/>
        <w:jc w:val="both"/>
      </w:pPr>
      <w:r>
        <w:rPr>
          <w:rFonts w:ascii="Times New Roman"/>
          <w:b w:val="false"/>
          <w:i w:val="false"/>
          <w:color w:val="000000"/>
          <w:sz w:val="28"/>
        </w:rPr>
        <w:t>
      При этом, несмотря на высокое разнообразие реализуемых в разных странах программ поддержки быстрорастущих компаний, их общими характерными чертами являются следующие:</w:t>
      </w:r>
    </w:p>
    <w:bookmarkEnd w:id="62"/>
    <w:bookmarkStart w:name="z69" w:id="63"/>
    <w:p>
      <w:pPr>
        <w:spacing w:after="0"/>
        <w:ind w:left="0"/>
        <w:jc w:val="both"/>
      </w:pPr>
      <w:r>
        <w:rPr>
          <w:rFonts w:ascii="Times New Roman"/>
          <w:b w:val="false"/>
          <w:i w:val="false"/>
          <w:color w:val="000000"/>
          <w:sz w:val="28"/>
        </w:rPr>
        <w:t>
      ограниченное число участников;</w:t>
      </w:r>
    </w:p>
    <w:bookmarkEnd w:id="63"/>
    <w:bookmarkStart w:name="z70" w:id="64"/>
    <w:p>
      <w:pPr>
        <w:spacing w:after="0"/>
        <w:ind w:left="0"/>
        <w:jc w:val="both"/>
      </w:pPr>
      <w:r>
        <w:rPr>
          <w:rFonts w:ascii="Times New Roman"/>
          <w:b w:val="false"/>
          <w:i w:val="false"/>
          <w:color w:val="000000"/>
          <w:sz w:val="28"/>
        </w:rPr>
        <w:t>
      индивидуальный подход;</w:t>
      </w:r>
    </w:p>
    <w:bookmarkEnd w:id="64"/>
    <w:bookmarkStart w:name="z71" w:id="65"/>
    <w:p>
      <w:pPr>
        <w:spacing w:after="0"/>
        <w:ind w:left="0"/>
        <w:jc w:val="both"/>
      </w:pPr>
      <w:r>
        <w:rPr>
          <w:rFonts w:ascii="Times New Roman"/>
          <w:b w:val="false"/>
          <w:i w:val="false"/>
          <w:color w:val="000000"/>
          <w:sz w:val="28"/>
        </w:rPr>
        <w:t>
      необходимый набор государственной поддержки (к примеру, финансовая помощь в приобретении технологического оборудования, получении патентов и прочих видов интеллектуальной собственности, льготное софинансирование проектов, целевые займы для реализации новых промышленных проектов и т.д. Нефинансовые механизмы поддержки, включая консалтинговую и маркетинговую поддержку, образовательные программы);</w:t>
      </w:r>
    </w:p>
    <w:bookmarkEnd w:id="65"/>
    <w:bookmarkStart w:name="z72" w:id="66"/>
    <w:p>
      <w:pPr>
        <w:spacing w:after="0"/>
        <w:ind w:left="0"/>
        <w:jc w:val="both"/>
      </w:pPr>
      <w:r>
        <w:rPr>
          <w:rFonts w:ascii="Times New Roman"/>
          <w:b w:val="false"/>
          <w:i w:val="false"/>
          <w:color w:val="000000"/>
          <w:sz w:val="28"/>
        </w:rPr>
        <w:t>
      сопровождение проектов МСП при обращениях за поддержкой, к примеру, по выходу на экспорт, обеспечению инвестициями.";</w:t>
      </w:r>
    </w:p>
    <w:bookmarkEnd w:id="66"/>
    <w:bookmarkStart w:name="z73"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4</w:t>
      </w:r>
      <w:r>
        <w:rPr>
          <w:rFonts w:ascii="Times New Roman"/>
          <w:b w:val="false"/>
          <w:i w:val="false"/>
          <w:color w:val="000000"/>
          <w:sz w:val="28"/>
        </w:rPr>
        <w:t xml:space="preserve"> "Видение развития малого и среднего предпринимательства":</w:t>
      </w:r>
    </w:p>
    <w:bookmarkEnd w:id="67"/>
    <w:bookmarkStart w:name="z74" w:id="68"/>
    <w:p>
      <w:pPr>
        <w:spacing w:after="0"/>
        <w:ind w:left="0"/>
        <w:jc w:val="both"/>
      </w:pPr>
      <w:r>
        <w:rPr>
          <w:rFonts w:ascii="Times New Roman"/>
          <w:b w:val="false"/>
          <w:i w:val="false"/>
          <w:color w:val="000000"/>
          <w:sz w:val="28"/>
        </w:rPr>
        <w:t>
      часть первую изложить в следующей редакции:</w:t>
      </w:r>
    </w:p>
    <w:bookmarkEnd w:id="68"/>
    <w:bookmarkStart w:name="z75" w:id="69"/>
    <w:p>
      <w:pPr>
        <w:spacing w:after="0"/>
        <w:ind w:left="0"/>
        <w:jc w:val="both"/>
      </w:pPr>
      <w:r>
        <w:rPr>
          <w:rFonts w:ascii="Times New Roman"/>
          <w:b w:val="false"/>
          <w:i w:val="false"/>
          <w:color w:val="000000"/>
          <w:sz w:val="28"/>
        </w:rPr>
        <w:t>
      "Казахстан нацелен на переход от поддержки всех субъектов МСП к конкурентоспособным с приоритетом развития среднего предпринимательства.</w:t>
      </w:r>
    </w:p>
    <w:bookmarkEnd w:id="69"/>
    <w:bookmarkStart w:name="z76" w:id="70"/>
    <w:p>
      <w:pPr>
        <w:spacing w:after="0"/>
        <w:ind w:left="0"/>
        <w:jc w:val="both"/>
      </w:pPr>
      <w:r>
        <w:rPr>
          <w:rFonts w:ascii="Times New Roman"/>
          <w:b w:val="false"/>
          <w:i w:val="false"/>
          <w:color w:val="000000"/>
          <w:sz w:val="28"/>
        </w:rPr>
        <w:t>
      Правительство обеспечит поэтапный переход от нерыночных механизмов финансовой поддержки.";</w:t>
      </w:r>
    </w:p>
    <w:bookmarkEnd w:id="70"/>
    <w:bookmarkStart w:name="z77" w:id="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5</w:t>
      </w:r>
      <w:r>
        <w:rPr>
          <w:rFonts w:ascii="Times New Roman"/>
          <w:b w:val="false"/>
          <w:i w:val="false"/>
          <w:color w:val="000000"/>
          <w:sz w:val="28"/>
        </w:rPr>
        <w:t xml:space="preserve"> "Основные принципы и подходы к развитию малого и среднего предпринимательства":</w:t>
      </w:r>
    </w:p>
    <w:bookmarkEnd w:id="71"/>
    <w:bookmarkStart w:name="z78"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r>
        <w:rPr>
          <w:rFonts w:ascii="Times New Roman"/>
          <w:b w:val="false"/>
          <w:i w:val="false"/>
          <w:color w:val="000000"/>
          <w:sz w:val="28"/>
        </w:rPr>
        <w:t xml:space="preserve"> "Подходы к развитию малого и среднего предпринимательства":</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задачу 4</w:t>
      </w:r>
      <w:r>
        <w:rPr>
          <w:rFonts w:ascii="Times New Roman"/>
          <w:b w:val="false"/>
          <w:i w:val="false"/>
          <w:color w:val="000000"/>
          <w:sz w:val="28"/>
        </w:rPr>
        <w:t xml:space="preserve"> "Обеспечение эффективности структуры мер государственной поддержки" изложить в следующей редакции:</w:t>
      </w:r>
    </w:p>
    <w:bookmarkStart w:name="z80" w:id="73"/>
    <w:p>
      <w:pPr>
        <w:spacing w:after="0"/>
        <w:ind w:left="0"/>
        <w:jc w:val="both"/>
      </w:pPr>
      <w:r>
        <w:rPr>
          <w:rFonts w:ascii="Times New Roman"/>
          <w:b w:val="false"/>
          <w:i w:val="false"/>
          <w:color w:val="000000"/>
          <w:sz w:val="28"/>
        </w:rPr>
        <w:t>
      "Задача 4. Обеспечение эффективности структуры мер государственной поддержки</w:t>
      </w:r>
    </w:p>
    <w:bookmarkEnd w:id="73"/>
    <w:bookmarkStart w:name="z81" w:id="74"/>
    <w:p>
      <w:pPr>
        <w:spacing w:after="0"/>
        <w:ind w:left="0"/>
        <w:jc w:val="both"/>
      </w:pPr>
      <w:r>
        <w:rPr>
          <w:rFonts w:ascii="Times New Roman"/>
          <w:b w:val="false"/>
          <w:i w:val="false"/>
          <w:color w:val="000000"/>
          <w:sz w:val="28"/>
        </w:rPr>
        <w:t>
      На заключительном уровне пирамиды лежат реформы, связанные с обеспечением эффективной структуры мер государственной поддержки.</w:t>
      </w:r>
    </w:p>
    <w:bookmarkEnd w:id="74"/>
    <w:bookmarkStart w:name="z82" w:id="75"/>
    <w:p>
      <w:pPr>
        <w:spacing w:after="0"/>
        <w:ind w:left="0"/>
        <w:jc w:val="both"/>
      </w:pPr>
      <w:r>
        <w:rPr>
          <w:rFonts w:ascii="Times New Roman"/>
          <w:b w:val="false"/>
          <w:i w:val="false"/>
          <w:color w:val="000000"/>
          <w:sz w:val="28"/>
        </w:rPr>
        <w:t>
      Должна быть проведена градация доступности инструментов и государственных мер стимулирования развития МСП в привязке к категории субъекта МСП, его динамике налоговых выплат, стадии жизненного цикла и потенциалу развития.</w:t>
      </w:r>
    </w:p>
    <w:bookmarkEnd w:id="75"/>
    <w:bookmarkStart w:name="z83" w:id="76"/>
    <w:p>
      <w:pPr>
        <w:spacing w:after="0"/>
        <w:ind w:left="0"/>
        <w:jc w:val="both"/>
      </w:pPr>
      <w:r>
        <w:rPr>
          <w:rFonts w:ascii="Times New Roman"/>
          <w:b w:val="false"/>
          <w:i w:val="false"/>
          <w:color w:val="000000"/>
          <w:sz w:val="28"/>
        </w:rPr>
        <w:t xml:space="preserve">
      Для этого основной вектор мер государственного регулирования и стимулирования предпринимательства будет направлен на обеспечение непрерывного развития бизнеса на всех стадиях его развития, что в последующем позволит обеспечить переход значительной части малого бизнеса в категорию среднего и среднего в крупный. </w:t>
      </w:r>
    </w:p>
    <w:bookmarkEnd w:id="76"/>
    <w:bookmarkStart w:name="z84" w:id="77"/>
    <w:p>
      <w:pPr>
        <w:spacing w:after="0"/>
        <w:ind w:left="0"/>
        <w:jc w:val="both"/>
      </w:pPr>
      <w:r>
        <w:rPr>
          <w:rFonts w:ascii="Times New Roman"/>
          <w:b w:val="false"/>
          <w:i w:val="false"/>
          <w:color w:val="000000"/>
          <w:sz w:val="28"/>
        </w:rPr>
        <w:t>
      Основной фокус развития будет направлен на:</w:t>
      </w:r>
    </w:p>
    <w:bookmarkEnd w:id="77"/>
    <w:bookmarkStart w:name="z85" w:id="78"/>
    <w:p>
      <w:pPr>
        <w:spacing w:after="0"/>
        <w:ind w:left="0"/>
        <w:jc w:val="both"/>
      </w:pPr>
      <w:r>
        <w:rPr>
          <w:rFonts w:ascii="Times New Roman"/>
          <w:b w:val="false"/>
          <w:i w:val="false"/>
          <w:color w:val="000000"/>
          <w:sz w:val="28"/>
        </w:rPr>
        <w:t>
      поддержку начинающих предпринимателей по реализации бизнес-инициативы;</w:t>
      </w:r>
    </w:p>
    <w:bookmarkEnd w:id="78"/>
    <w:bookmarkStart w:name="z86" w:id="79"/>
    <w:p>
      <w:pPr>
        <w:spacing w:after="0"/>
        <w:ind w:left="0"/>
        <w:jc w:val="both"/>
      </w:pPr>
      <w:r>
        <w:rPr>
          <w:rFonts w:ascii="Times New Roman"/>
          <w:b w:val="false"/>
          <w:i w:val="false"/>
          <w:color w:val="000000"/>
          <w:sz w:val="28"/>
        </w:rPr>
        <w:t>
      качественное развитие микро- и малых предприятий для прохождения всех этапов жизненного цикла;</w:t>
      </w:r>
    </w:p>
    <w:bookmarkEnd w:id="79"/>
    <w:bookmarkStart w:name="z87" w:id="80"/>
    <w:p>
      <w:pPr>
        <w:spacing w:after="0"/>
        <w:ind w:left="0"/>
        <w:jc w:val="both"/>
      </w:pPr>
      <w:r>
        <w:rPr>
          <w:rFonts w:ascii="Times New Roman"/>
          <w:b w:val="false"/>
          <w:i w:val="false"/>
          <w:color w:val="000000"/>
          <w:sz w:val="28"/>
        </w:rPr>
        <w:t>
      взращивание устойчивой прослойки среднего бизнеса;</w:t>
      </w:r>
    </w:p>
    <w:bookmarkEnd w:id="80"/>
    <w:bookmarkStart w:name="z88" w:id="81"/>
    <w:p>
      <w:pPr>
        <w:spacing w:after="0"/>
        <w:ind w:left="0"/>
        <w:jc w:val="both"/>
      </w:pPr>
      <w:r>
        <w:rPr>
          <w:rFonts w:ascii="Times New Roman"/>
          <w:b w:val="false"/>
          <w:i w:val="false"/>
          <w:color w:val="000000"/>
          <w:sz w:val="28"/>
        </w:rPr>
        <w:t>
      антикризисную поддержку предприятий, имеющих потенциал для развития, но оказавшихся в трудной ситуации, на которые они не могли повлиять.</w:t>
      </w:r>
    </w:p>
    <w:bookmarkEnd w:id="81"/>
    <w:bookmarkStart w:name="z89" w:id="82"/>
    <w:p>
      <w:pPr>
        <w:spacing w:after="0"/>
        <w:ind w:left="0"/>
        <w:jc w:val="both"/>
      </w:pPr>
      <w:r>
        <w:rPr>
          <w:rFonts w:ascii="Times New Roman"/>
          <w:b w:val="false"/>
          <w:i w:val="false"/>
          <w:color w:val="000000"/>
          <w:sz w:val="28"/>
        </w:rPr>
        <w:t>
      Так, начинающим предпринимателям ("стадия становление") должны быть предложены стимулы в виде предоставления доступа ко всем нефинансовым мерам поддержки, направленным на культивирование ценностей, присущих предпринимательству, развитие необходимых компетенций (консультации, обучение, информирование и т.д.), а также лимитированному количеству финансовых мер поддержки (микрокредиты, гранты).</w:t>
      </w:r>
    </w:p>
    <w:bookmarkEnd w:id="82"/>
    <w:bookmarkStart w:name="z90" w:id="83"/>
    <w:p>
      <w:pPr>
        <w:spacing w:after="0"/>
        <w:ind w:left="0"/>
        <w:jc w:val="both"/>
      </w:pPr>
      <w:r>
        <w:rPr>
          <w:rFonts w:ascii="Times New Roman"/>
          <w:b w:val="false"/>
          <w:i w:val="false"/>
          <w:color w:val="000000"/>
          <w:sz w:val="28"/>
        </w:rPr>
        <w:t>
      При этом для данной категории бизнеса жестких критериев отбора и встречных обязательств для получения соответствующих мер поддержки предъявляться не будет.</w:t>
      </w:r>
    </w:p>
    <w:bookmarkEnd w:id="83"/>
    <w:bookmarkStart w:name="z91" w:id="84"/>
    <w:p>
      <w:pPr>
        <w:spacing w:after="0"/>
        <w:ind w:left="0"/>
        <w:jc w:val="both"/>
      </w:pPr>
      <w:r>
        <w:rPr>
          <w:rFonts w:ascii="Times New Roman"/>
          <w:b w:val="false"/>
          <w:i w:val="false"/>
          <w:color w:val="000000"/>
          <w:sz w:val="28"/>
        </w:rPr>
        <w:t>
      На "стадии роста предпринимательской активности" субъектам бизнеса будет предложен лимитированный комплекс мер финансовой поддержки (в виде субсидирования, гарантирования, льготного кредитования), а также будут доступны необходимые нефинансовые меры поддержки (повышение квалификации сотрудников, установление деловых связей, сопровождение по наращиванию присутствия на внутреннем рынке и т.д.).</w:t>
      </w:r>
    </w:p>
    <w:bookmarkEnd w:id="84"/>
    <w:bookmarkStart w:name="z92" w:id="85"/>
    <w:p>
      <w:pPr>
        <w:spacing w:after="0"/>
        <w:ind w:left="0"/>
        <w:jc w:val="both"/>
      </w:pPr>
      <w:r>
        <w:rPr>
          <w:rFonts w:ascii="Times New Roman"/>
          <w:b w:val="false"/>
          <w:i w:val="false"/>
          <w:color w:val="000000"/>
          <w:sz w:val="28"/>
        </w:rPr>
        <w:t>
      В качестве основных критериев отбора таких компаний будут выступать:</w:t>
      </w:r>
    </w:p>
    <w:bookmarkEnd w:id="85"/>
    <w:bookmarkStart w:name="z93" w:id="86"/>
    <w:p>
      <w:pPr>
        <w:spacing w:after="0"/>
        <w:ind w:left="0"/>
        <w:jc w:val="both"/>
      </w:pPr>
      <w:r>
        <w:rPr>
          <w:rFonts w:ascii="Times New Roman"/>
          <w:b w:val="false"/>
          <w:i w:val="false"/>
          <w:color w:val="000000"/>
          <w:sz w:val="28"/>
        </w:rPr>
        <w:t>
      1) функционирование на рынке не менее 3-х лет;</w:t>
      </w:r>
    </w:p>
    <w:bookmarkEnd w:id="86"/>
    <w:bookmarkStart w:name="z94" w:id="87"/>
    <w:p>
      <w:pPr>
        <w:spacing w:after="0"/>
        <w:ind w:left="0"/>
        <w:jc w:val="both"/>
      </w:pPr>
      <w:r>
        <w:rPr>
          <w:rFonts w:ascii="Times New Roman"/>
          <w:b w:val="false"/>
          <w:i w:val="false"/>
          <w:color w:val="000000"/>
          <w:sz w:val="28"/>
        </w:rPr>
        <w:t>
      2) отсутствие налоговой задолженности;</w:t>
      </w:r>
    </w:p>
    <w:bookmarkEnd w:id="87"/>
    <w:bookmarkStart w:name="z95" w:id="88"/>
    <w:p>
      <w:pPr>
        <w:spacing w:after="0"/>
        <w:ind w:left="0"/>
        <w:jc w:val="both"/>
      </w:pPr>
      <w:r>
        <w:rPr>
          <w:rFonts w:ascii="Times New Roman"/>
          <w:b w:val="false"/>
          <w:i w:val="false"/>
          <w:color w:val="000000"/>
          <w:sz w:val="28"/>
        </w:rPr>
        <w:t>
      3) темп роста доходов не менее 10 %;</w:t>
      </w:r>
    </w:p>
    <w:bookmarkEnd w:id="88"/>
    <w:bookmarkStart w:name="z96" w:id="89"/>
    <w:p>
      <w:pPr>
        <w:spacing w:after="0"/>
        <w:ind w:left="0"/>
        <w:jc w:val="both"/>
      </w:pPr>
      <w:r>
        <w:rPr>
          <w:rFonts w:ascii="Times New Roman"/>
          <w:b w:val="false"/>
          <w:i w:val="false"/>
          <w:color w:val="000000"/>
          <w:sz w:val="28"/>
        </w:rPr>
        <w:t>
      4) 80 % качественных рабочих мест.</w:t>
      </w:r>
    </w:p>
    <w:bookmarkEnd w:id="89"/>
    <w:bookmarkStart w:name="z97" w:id="90"/>
    <w:p>
      <w:pPr>
        <w:spacing w:after="0"/>
        <w:ind w:left="0"/>
        <w:jc w:val="both"/>
      </w:pPr>
      <w:r>
        <w:rPr>
          <w:rFonts w:ascii="Times New Roman"/>
          <w:b w:val="false"/>
          <w:i w:val="false"/>
          <w:color w:val="000000"/>
          <w:sz w:val="28"/>
        </w:rPr>
        <w:t>
      Для компаний малого и среднего бизнеса, имеющих потенциал к росту, но оказавшихся в трудной ситуации ("стадия рецессия"), будут предложены стимулы по выходу из кризисной ситуации (в виде внедрения антикризисных программ, погашения задолженностей, субсидирования и т.д.).</w:t>
      </w:r>
    </w:p>
    <w:bookmarkEnd w:id="90"/>
    <w:bookmarkStart w:name="z98" w:id="91"/>
    <w:p>
      <w:pPr>
        <w:spacing w:after="0"/>
        <w:ind w:left="0"/>
        <w:jc w:val="both"/>
      </w:pPr>
      <w:r>
        <w:rPr>
          <w:rFonts w:ascii="Times New Roman"/>
          <w:b w:val="false"/>
          <w:i w:val="false"/>
          <w:color w:val="000000"/>
          <w:sz w:val="28"/>
        </w:rPr>
        <w:t>
      В качестве главного критерия для такой организации будет выступать документ, подтверждающий обстоятельство форс-мажора и отсутствие процедур банкротства.</w:t>
      </w:r>
    </w:p>
    <w:bookmarkEnd w:id="91"/>
    <w:bookmarkStart w:name="z99" w:id="92"/>
    <w:p>
      <w:pPr>
        <w:spacing w:after="0"/>
        <w:ind w:left="0"/>
        <w:jc w:val="both"/>
      </w:pPr>
      <w:r>
        <w:rPr>
          <w:rFonts w:ascii="Times New Roman"/>
          <w:b w:val="false"/>
          <w:i w:val="false"/>
          <w:color w:val="000000"/>
          <w:sz w:val="28"/>
        </w:rPr>
        <w:t xml:space="preserve">
      Основной фокус государственной политики поддержки бизнеса будет направлен на развитие конкурентоспособных экспортоориентированных компаний среднего звена, имеющих потенциал к последующей трансформации в лидеры национальной экономики ("стадия зрелость"). </w:t>
      </w:r>
    </w:p>
    <w:bookmarkEnd w:id="92"/>
    <w:bookmarkStart w:name="z100" w:id="93"/>
    <w:p>
      <w:pPr>
        <w:spacing w:after="0"/>
        <w:ind w:left="0"/>
        <w:jc w:val="both"/>
      </w:pPr>
      <w:r>
        <w:rPr>
          <w:rFonts w:ascii="Times New Roman"/>
          <w:b w:val="false"/>
          <w:i w:val="false"/>
          <w:color w:val="000000"/>
          <w:sz w:val="28"/>
        </w:rPr>
        <w:t>
      Для указанных компаний в рамках специально разработанной программы "Бизнес – элита новой формации: Путь к глобализации" будет предложен широкий спектр поддержки как финансовых, так и нефинансовых мер поддержки: от содействия в разработке технической документации до отдельных условий льготного финансирования, субсидирования процентной ставки, частичного гарантирования, лизинга, использования инструментов долевого финансирования и рынка капитала (субсидирование ставки купонного вознаграждения по облигациям), а также иных механизмов поддержки.</w:t>
      </w:r>
    </w:p>
    <w:bookmarkEnd w:id="93"/>
    <w:bookmarkStart w:name="z101" w:id="94"/>
    <w:p>
      <w:pPr>
        <w:spacing w:after="0"/>
        <w:ind w:left="0"/>
        <w:jc w:val="both"/>
      </w:pPr>
      <w:r>
        <w:rPr>
          <w:rFonts w:ascii="Times New Roman"/>
          <w:b w:val="false"/>
          <w:i w:val="false"/>
          <w:color w:val="000000"/>
          <w:sz w:val="28"/>
        </w:rPr>
        <w:t>
      Основные критерии будут базироваться на:</w:t>
      </w:r>
    </w:p>
    <w:bookmarkEnd w:id="94"/>
    <w:bookmarkStart w:name="z102" w:id="95"/>
    <w:p>
      <w:pPr>
        <w:spacing w:after="0"/>
        <w:ind w:left="0"/>
        <w:jc w:val="both"/>
      </w:pPr>
      <w:r>
        <w:rPr>
          <w:rFonts w:ascii="Times New Roman"/>
          <w:b w:val="false"/>
          <w:i w:val="false"/>
          <w:color w:val="000000"/>
          <w:sz w:val="28"/>
        </w:rPr>
        <w:t>
      1) экспорториентированности – компания претендент должна реализовывать или намереваться реализовать свои товары, работы, услуги на внешние рынки;</w:t>
      </w:r>
    </w:p>
    <w:bookmarkEnd w:id="95"/>
    <w:bookmarkStart w:name="z103" w:id="96"/>
    <w:p>
      <w:pPr>
        <w:spacing w:after="0"/>
        <w:ind w:left="0"/>
        <w:jc w:val="both"/>
      </w:pPr>
      <w:r>
        <w:rPr>
          <w:rFonts w:ascii="Times New Roman"/>
          <w:b w:val="false"/>
          <w:i w:val="false"/>
          <w:color w:val="000000"/>
          <w:sz w:val="28"/>
        </w:rPr>
        <w:t>
      2) высокой производительности труда – производительность труда на 1 работника в год должна превышать среднеотраслевой показатель;</w:t>
      </w:r>
    </w:p>
    <w:bookmarkEnd w:id="96"/>
    <w:bookmarkStart w:name="z104" w:id="97"/>
    <w:p>
      <w:pPr>
        <w:spacing w:after="0"/>
        <w:ind w:left="0"/>
        <w:jc w:val="both"/>
      </w:pPr>
      <w:r>
        <w:rPr>
          <w:rFonts w:ascii="Times New Roman"/>
          <w:b w:val="false"/>
          <w:i w:val="false"/>
          <w:color w:val="000000"/>
          <w:sz w:val="28"/>
        </w:rPr>
        <w:t>
      3) наличии постоянных налоговых поступлений в бюджет.</w:t>
      </w:r>
    </w:p>
    <w:bookmarkEnd w:id="97"/>
    <w:bookmarkStart w:name="z105" w:id="98"/>
    <w:p>
      <w:pPr>
        <w:spacing w:after="0"/>
        <w:ind w:left="0"/>
        <w:jc w:val="both"/>
      </w:pPr>
      <w:r>
        <w:rPr>
          <w:rFonts w:ascii="Times New Roman"/>
          <w:b w:val="false"/>
          <w:i w:val="false"/>
          <w:color w:val="000000"/>
          <w:sz w:val="28"/>
        </w:rPr>
        <w:t>
      Оценку соответствия указанным критериям предлагается осуществлять на основании данных центральных государственных органов и Комитета государственных доходов Министерства финансов Республики Казахстан.</w:t>
      </w:r>
    </w:p>
    <w:bookmarkEnd w:id="98"/>
    <w:bookmarkStart w:name="z106" w:id="99"/>
    <w:p>
      <w:pPr>
        <w:spacing w:after="0"/>
        <w:ind w:left="0"/>
        <w:jc w:val="both"/>
      </w:pPr>
      <w:r>
        <w:rPr>
          <w:rFonts w:ascii="Times New Roman"/>
          <w:b w:val="false"/>
          <w:i w:val="false"/>
          <w:color w:val="000000"/>
          <w:sz w:val="28"/>
        </w:rPr>
        <w:t>
      При этом указанным компаниям также будут предложены стимулы в виде освобождения от проверок и профилактического контроля с посещением субъектов, внедрив взамен прозрачную отчетность бизнеса.</w:t>
      </w:r>
    </w:p>
    <w:bookmarkEnd w:id="99"/>
    <w:bookmarkStart w:name="z107" w:id="100"/>
    <w:p>
      <w:pPr>
        <w:spacing w:after="0"/>
        <w:ind w:left="0"/>
        <w:jc w:val="both"/>
      </w:pPr>
      <w:r>
        <w:rPr>
          <w:rFonts w:ascii="Times New Roman"/>
          <w:b w:val="false"/>
          <w:i w:val="false"/>
          <w:color w:val="000000"/>
          <w:sz w:val="28"/>
        </w:rPr>
        <w:t>
      Встречные обязательства будут пропорционально определяться в зависимости от вида и объема получаемой меры государственного стимулирования и будут применяться в совокупности или отдельно по следующим направлениям:</w:t>
      </w:r>
    </w:p>
    <w:bookmarkEnd w:id="100"/>
    <w:bookmarkStart w:name="z108" w:id="101"/>
    <w:p>
      <w:pPr>
        <w:spacing w:after="0"/>
        <w:ind w:left="0"/>
        <w:jc w:val="both"/>
      </w:pPr>
      <w:r>
        <w:rPr>
          <w:rFonts w:ascii="Times New Roman"/>
          <w:b w:val="false"/>
          <w:i w:val="false"/>
          <w:color w:val="000000"/>
          <w:sz w:val="28"/>
        </w:rPr>
        <w:t>
      1) повышение производительности труда;</w:t>
      </w:r>
    </w:p>
    <w:bookmarkEnd w:id="101"/>
    <w:bookmarkStart w:name="z109" w:id="102"/>
    <w:p>
      <w:pPr>
        <w:spacing w:after="0"/>
        <w:ind w:left="0"/>
        <w:jc w:val="both"/>
      </w:pPr>
      <w:r>
        <w:rPr>
          <w:rFonts w:ascii="Times New Roman"/>
          <w:b w:val="false"/>
          <w:i w:val="false"/>
          <w:color w:val="000000"/>
          <w:sz w:val="28"/>
        </w:rPr>
        <w:t>
      2) наращивание поставок экспорта;</w:t>
      </w:r>
    </w:p>
    <w:bookmarkEnd w:id="102"/>
    <w:bookmarkStart w:name="z110" w:id="103"/>
    <w:p>
      <w:pPr>
        <w:spacing w:after="0"/>
        <w:ind w:left="0"/>
        <w:jc w:val="both"/>
      </w:pPr>
      <w:r>
        <w:rPr>
          <w:rFonts w:ascii="Times New Roman"/>
          <w:b w:val="false"/>
          <w:i w:val="false"/>
          <w:color w:val="000000"/>
          <w:sz w:val="28"/>
        </w:rPr>
        <w:t>
      3) увеличение налоговых поступлений;</w:t>
      </w:r>
    </w:p>
    <w:bookmarkEnd w:id="103"/>
    <w:bookmarkStart w:name="z111" w:id="104"/>
    <w:p>
      <w:pPr>
        <w:spacing w:after="0"/>
        <w:ind w:left="0"/>
        <w:jc w:val="both"/>
      </w:pPr>
      <w:r>
        <w:rPr>
          <w:rFonts w:ascii="Times New Roman"/>
          <w:b w:val="false"/>
          <w:i w:val="false"/>
          <w:color w:val="000000"/>
          <w:sz w:val="28"/>
        </w:rPr>
        <w:t>
      4) углубление переработки сырья.</w:t>
      </w:r>
    </w:p>
    <w:bookmarkEnd w:id="104"/>
    <w:bookmarkStart w:name="z112" w:id="105"/>
    <w:p>
      <w:pPr>
        <w:spacing w:after="0"/>
        <w:ind w:left="0"/>
        <w:jc w:val="both"/>
      </w:pPr>
      <w:r>
        <w:rPr>
          <w:rFonts w:ascii="Times New Roman"/>
          <w:b w:val="false"/>
          <w:i w:val="false"/>
          <w:color w:val="000000"/>
          <w:sz w:val="28"/>
        </w:rPr>
        <w:t>
      Такой проектный подход вберет в себя лучшие мировые и отечественные практики по взращиванию сильных конкурентоспособных компаний, способных стать лидерами национальной экономики.</w:t>
      </w:r>
    </w:p>
    <w:bookmarkEnd w:id="105"/>
    <w:bookmarkStart w:name="z113" w:id="106"/>
    <w:p>
      <w:pPr>
        <w:spacing w:after="0"/>
        <w:ind w:left="0"/>
        <w:jc w:val="both"/>
      </w:pPr>
      <w:r>
        <w:rPr>
          <w:rFonts w:ascii="Times New Roman"/>
          <w:b w:val="false"/>
          <w:i w:val="false"/>
          <w:color w:val="000000"/>
          <w:sz w:val="28"/>
        </w:rPr>
        <w:t>
      Операторами мер государственной поддержки должны быть приняты исчерпывающие меры по повышению прозрачности финансовых операций по предоставлению средств в части разработки и утверждения типовых условий о раскрытии информации о получателях мер государственной поддержки.</w:t>
      </w:r>
    </w:p>
    <w:bookmarkEnd w:id="106"/>
    <w:bookmarkStart w:name="z114" w:id="107"/>
    <w:p>
      <w:pPr>
        <w:spacing w:after="0"/>
        <w:ind w:left="0"/>
        <w:jc w:val="both"/>
      </w:pPr>
      <w:r>
        <w:rPr>
          <w:rFonts w:ascii="Times New Roman"/>
          <w:b w:val="false"/>
          <w:i w:val="false"/>
          <w:color w:val="000000"/>
          <w:sz w:val="28"/>
        </w:rPr>
        <w:t>
      В целях обеспечения прозрачности при получении мер государственной поддержки необходимо создание открытого единого реестра получателей мер государственной поддержки, который позволит предоставлять всю информацию по каждому субъекту предпринимательства о ранее полученных мерах поддержки и эффектах данной поддержки в виде суммы оплаченных налогов, количества работников и др.";</w:t>
      </w:r>
    </w:p>
    <w:bookmarkEnd w:id="107"/>
    <w:bookmarkStart w:name="z115" w:id="1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Концепции развития малого и среднего предпринимательства в Республике Казахстан до 2030 года, утвержденной указанным постановлением:</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План</w:t>
      </w:r>
      <w:r>
        <w:rPr>
          <w:rFonts w:ascii="Times New Roman"/>
          <w:b w:val="false"/>
          <w:i w:val="false"/>
          <w:color w:val="000000"/>
          <w:sz w:val="28"/>
        </w:rPr>
        <w:t xml:space="preserve"> действий по реализации Концепции развития малого и среднего предпринимательства в Республике Казахстан до 2030 года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17" w:id="109"/>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10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2023 года № 1241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Концепции развития малого </w:t>
            </w:r>
            <w:r>
              <w:br/>
            </w:r>
            <w:r>
              <w:rPr>
                <w:rFonts w:ascii="Times New Roman"/>
                <w:b w:val="false"/>
                <w:i w:val="false"/>
                <w:color w:val="000000"/>
                <w:sz w:val="20"/>
              </w:rPr>
              <w:t xml:space="preserve">и среднего предпринимательства </w:t>
            </w:r>
            <w:r>
              <w:br/>
            </w:r>
            <w:r>
              <w:rPr>
                <w:rFonts w:ascii="Times New Roman"/>
                <w:b w:val="false"/>
                <w:i w:val="false"/>
                <w:color w:val="000000"/>
                <w:sz w:val="20"/>
              </w:rPr>
              <w:t xml:space="preserve">в Республике Казахстан </w:t>
            </w:r>
            <w:r>
              <w:br/>
            </w:r>
            <w:r>
              <w:rPr>
                <w:rFonts w:ascii="Times New Roman"/>
                <w:b w:val="false"/>
                <w:i w:val="false"/>
                <w:color w:val="000000"/>
                <w:sz w:val="20"/>
              </w:rPr>
              <w:t>до 2030 года</w:t>
            </w:r>
          </w:p>
        </w:tc>
      </w:tr>
    </w:tbl>
    <w:bookmarkStart w:name="z121" w:id="110"/>
    <w:p>
      <w:pPr>
        <w:spacing w:after="0"/>
        <w:ind w:left="0"/>
        <w:jc w:val="left"/>
      </w:pPr>
      <w:r>
        <w:rPr>
          <w:rFonts w:ascii="Times New Roman"/>
          <w:b/>
          <w:i w:val="false"/>
          <w:color w:val="000000"/>
        </w:rPr>
        <w:t xml:space="preserve"> План действий </w:t>
      </w:r>
      <w:r>
        <w:br/>
      </w:r>
      <w:r>
        <w:rPr>
          <w:rFonts w:ascii="Times New Roman"/>
          <w:b/>
          <w:i w:val="false"/>
          <w:color w:val="000000"/>
        </w:rPr>
        <w:t xml:space="preserve">по реализации Концепции развития малого и среднего предпринимательства </w:t>
      </w:r>
      <w:r>
        <w:br/>
      </w:r>
      <w:r>
        <w:rPr>
          <w:rFonts w:ascii="Times New Roman"/>
          <w:b/>
          <w:i w:val="false"/>
          <w:color w:val="000000"/>
        </w:rPr>
        <w:t>в Республике Казахстан до 2030 года</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реформы и основные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1"/>
          <w:p>
            <w:pPr>
              <w:spacing w:after="20"/>
              <w:ind w:left="20"/>
              <w:jc w:val="both"/>
            </w:pPr>
            <w:r>
              <w:rPr>
                <w:rFonts w:ascii="Times New Roman"/>
                <w:b w:val="false"/>
                <w:i w:val="false"/>
                <w:color w:val="000000"/>
                <w:sz w:val="20"/>
              </w:rPr>
              <w:t>
</w:t>
            </w:r>
            <w:r>
              <w:rPr>
                <w:rFonts w:ascii="Times New Roman"/>
                <w:b/>
                <w:i w:val="false"/>
                <w:color w:val="000000"/>
                <w:sz w:val="20"/>
              </w:rPr>
              <w:t>Направление 1. Институциональные меры и развитие человеческого капитала</w:t>
            </w:r>
          </w:p>
          <w:bookmarkEnd w:id="111"/>
          <w:p>
            <w:pPr>
              <w:spacing w:after="20"/>
              <w:ind w:left="20"/>
              <w:jc w:val="both"/>
            </w:pPr>
            <w:r>
              <w:rPr>
                <w:rFonts w:ascii="Times New Roman"/>
                <w:b w:val="false"/>
                <w:i w:val="false"/>
                <w:color w:val="000000"/>
                <w:sz w:val="20"/>
              </w:rPr>
              <w:t>
</w:t>
            </w:r>
            <w:r>
              <w:rPr>
                <w:rFonts w:ascii="Times New Roman"/>
                <w:b/>
                <w:i w:val="false"/>
                <w:color w:val="000000"/>
                <w:sz w:val="20"/>
              </w:rPr>
              <w:t xml:space="preserve">Целевой индикатор 1. Доля МСП в ВВП </w:t>
            </w:r>
            <w:r>
              <w:rPr>
                <w:rFonts w:ascii="Times New Roman"/>
                <w:b/>
                <w:i w:val="false"/>
                <w:color w:val="000000"/>
                <w:sz w:val="20"/>
              </w:rPr>
              <w:t>–</w:t>
            </w:r>
            <w:r>
              <w:rPr>
                <w:rFonts w:ascii="Times New Roman"/>
                <w:b/>
                <w:i w:val="false"/>
                <w:color w:val="000000"/>
                <w:sz w:val="20"/>
              </w:rPr>
              <w:t xml:space="preserve"> 40</w:t>
            </w:r>
            <w:r>
              <w:rPr>
                <w:rFonts w:ascii="Times New Roman"/>
                <w:b w:val="false"/>
                <w:i w:val="false"/>
                <w:color w:val="000000"/>
                <w:sz w:val="20"/>
              </w:rPr>
              <w:t xml:space="preserve"> </w:t>
            </w:r>
            <w:r>
              <w:rPr>
                <w:rFonts w:ascii="Times New Roman"/>
                <w:b/>
                <w:i w:val="false"/>
                <w:color w:val="000000"/>
                <w:sz w:val="20"/>
              </w:rPr>
              <w:t>% (2022 г. – 3</w:t>
            </w:r>
            <w:r>
              <w:rPr>
                <w:rFonts w:ascii="Times New Roman"/>
                <w:b/>
                <w:i w:val="false"/>
                <w:color w:val="000000"/>
                <w:sz w:val="20"/>
              </w:rPr>
              <w:t xml:space="preserve">5,1 </w:t>
            </w:r>
            <w:r>
              <w:rPr>
                <w:rFonts w:ascii="Times New Roman"/>
                <w:b/>
                <w:i w:val="false"/>
                <w:color w:val="000000"/>
                <w:sz w:val="20"/>
              </w:rPr>
              <w:t>%, 2023 г. – 3</w:t>
            </w:r>
            <w:r>
              <w:rPr>
                <w:rFonts w:ascii="Times New Roman"/>
                <w:b/>
                <w:i w:val="false"/>
                <w:color w:val="000000"/>
                <w:sz w:val="20"/>
              </w:rPr>
              <w:t xml:space="preserve">6 </w:t>
            </w:r>
            <w:r>
              <w:rPr>
                <w:rFonts w:ascii="Times New Roman"/>
                <w:b/>
                <w:i w:val="false"/>
                <w:color w:val="000000"/>
                <w:sz w:val="20"/>
              </w:rPr>
              <w:t>%, 2024 г. – 3</w:t>
            </w:r>
            <w:r>
              <w:rPr>
                <w:rFonts w:ascii="Times New Roman"/>
                <w:b/>
                <w:i w:val="false"/>
                <w:color w:val="000000"/>
                <w:sz w:val="20"/>
              </w:rPr>
              <w:t xml:space="preserve">7 </w:t>
            </w:r>
            <w:r>
              <w:rPr>
                <w:rFonts w:ascii="Times New Roman"/>
                <w:b/>
                <w:i w:val="false"/>
                <w:color w:val="000000"/>
                <w:sz w:val="20"/>
              </w:rPr>
              <w:t>%, 2025 г. – 3</w:t>
            </w:r>
            <w:r>
              <w:rPr>
                <w:rFonts w:ascii="Times New Roman"/>
                <w:b/>
                <w:i w:val="false"/>
                <w:color w:val="000000"/>
                <w:sz w:val="20"/>
              </w:rPr>
              <w:t xml:space="preserve">7,5 </w:t>
            </w:r>
            <w:r>
              <w:rPr>
                <w:rFonts w:ascii="Times New Roman"/>
                <w:b/>
                <w:i w:val="false"/>
                <w:color w:val="000000"/>
                <w:sz w:val="20"/>
              </w:rPr>
              <w:t>% 2026 г. – 3</w:t>
            </w:r>
            <w:r>
              <w:rPr>
                <w:rFonts w:ascii="Times New Roman"/>
                <w:b/>
                <w:i w:val="false"/>
                <w:color w:val="000000"/>
                <w:sz w:val="20"/>
              </w:rPr>
              <w:t xml:space="preserve">8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2027 г. – 3</w:t>
            </w:r>
            <w:r>
              <w:rPr>
                <w:rFonts w:ascii="Times New Roman"/>
                <w:b/>
                <w:i w:val="false"/>
                <w:color w:val="000000"/>
                <w:sz w:val="20"/>
              </w:rPr>
              <w:t>8</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 2028 г. – 3</w:t>
            </w:r>
            <w:r>
              <w:rPr>
                <w:rFonts w:ascii="Times New Roman"/>
                <w:b/>
                <w:i w:val="false"/>
                <w:color w:val="000000"/>
                <w:sz w:val="20"/>
              </w:rPr>
              <w:t xml:space="preserve">9 </w:t>
            </w:r>
            <w:r>
              <w:rPr>
                <w:rFonts w:ascii="Times New Roman"/>
                <w:b/>
                <w:i w:val="false"/>
                <w:color w:val="000000"/>
                <w:sz w:val="20"/>
              </w:rPr>
              <w:t>%, 2029 г. – 3</w:t>
            </w:r>
            <w:r>
              <w:rPr>
                <w:rFonts w:ascii="Times New Roman"/>
                <w:b/>
                <w:i w:val="false"/>
                <w:color w:val="000000"/>
                <w:sz w:val="20"/>
              </w:rPr>
              <w:t>9</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 2030 г. – 40</w:t>
            </w:r>
            <w:r>
              <w:rPr>
                <w:rFonts w:ascii="Times New Roman"/>
                <w:b w:val="false"/>
                <w:i w:val="false"/>
                <w:color w:val="000000"/>
                <w:sz w:val="20"/>
              </w:rPr>
              <w:t xml:space="preserve"> </w:t>
            </w:r>
            <w:r>
              <w:rPr>
                <w:rFonts w:ascii="Times New Roman"/>
                <w:b/>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Пересмотр норм действующего законодательства на предмет необоснованного ограничения по распоряжению банковскими счетами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2"/>
          <w:p>
            <w:pPr>
              <w:spacing w:after="20"/>
              <w:ind w:left="20"/>
              <w:jc w:val="both"/>
            </w:pPr>
            <w:r>
              <w:rPr>
                <w:rFonts w:ascii="Times New Roman"/>
                <w:b w:val="false"/>
                <w:i w:val="false"/>
                <w:color w:val="000000"/>
                <w:sz w:val="20"/>
              </w:rPr>
              <w:t>
I квартал 2024 года</w:t>
            </w:r>
          </w:p>
          <w:bookmarkEnd w:id="1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 НБ (по согласованию), АРРФР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предпринимательского потенциала через обучающие инструменты и предоставление консультаций по вопросам деятельности предприятий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в создании и продвижении продукции из местных и локальных ресурсов в рамках проекта "Одно село – один продукт"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возможностей женщин с предпринимательской инициативой и женщин-предпринимателей в центрах развития женского предпринимательства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условий предоставления мер государственной поддержки субъектам социального предпринимательства, в том числе квотирование средств для социальных предпринимателей при предоставлении государственных грантов и субсидирование части ставок вознаграждения по кредитам БВУ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пакета НПА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системы государственной поддержки: внедрение "пакетных решений" в зависимости от стадий жизненного цикла и уровня конкурентоспособности ("минимальный пакет", "стандартный пакет" и "комбинированный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3"/>
          <w:p>
            <w:pPr>
              <w:spacing w:after="20"/>
              <w:ind w:left="20"/>
              <w:jc w:val="both"/>
            </w:pPr>
            <w:r>
              <w:rPr>
                <w:rFonts w:ascii="Times New Roman"/>
                <w:b w:val="false"/>
                <w:i w:val="false"/>
                <w:color w:val="000000"/>
                <w:sz w:val="20"/>
              </w:rPr>
              <w:t>
проект Закона Республики Казахстан</w:t>
            </w:r>
          </w:p>
          <w:bookmarkEnd w:id="1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МТСЗН, МИД, МПС, МТС, МСХ, МТИ, МЦРИАП, МЭПР, АРРФР (по согласованию), АО "НУХ "Байтерек" (по согласованию),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деловых связей и повышение производительности предпринимателей через прохождение бизнес-стажировок за рубежом и привлечение экспертов на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упрощенного порядка прекращения деятельности, предусмотренного для индивидуальных предпринимателей, на юридических лиц, являющихся субъектами малого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4"/>
          <w:p>
            <w:pPr>
              <w:spacing w:after="20"/>
              <w:ind w:left="20"/>
              <w:jc w:val="both"/>
            </w:pPr>
            <w:r>
              <w:rPr>
                <w:rFonts w:ascii="Times New Roman"/>
                <w:b w:val="false"/>
                <w:i w:val="false"/>
                <w:color w:val="000000"/>
                <w:sz w:val="20"/>
              </w:rPr>
              <w:t>
проект Закона Республики Казахстан</w:t>
            </w:r>
          </w:p>
          <w:bookmarkEnd w:id="1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критериев по определению категорийности субъектов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5"/>
          <w:p>
            <w:pPr>
              <w:spacing w:after="20"/>
              <w:ind w:left="20"/>
              <w:jc w:val="both"/>
            </w:pPr>
            <w:r>
              <w:rPr>
                <w:rFonts w:ascii="Times New Roman"/>
                <w:b w:val="false"/>
                <w:i w:val="false"/>
                <w:color w:val="000000"/>
                <w:sz w:val="20"/>
              </w:rPr>
              <w:t>
проект Закона</w:t>
            </w:r>
          </w:p>
          <w:bookmarkEnd w:id="115"/>
          <w:p>
            <w:pPr>
              <w:spacing w:after="20"/>
              <w:ind w:left="20"/>
              <w:jc w:val="both"/>
            </w:pPr>
            <w:r>
              <w:rPr>
                <w:rFonts w:ascii="Times New Roman"/>
                <w:b w:val="false"/>
                <w:i w:val="false"/>
                <w:color w:val="000000"/>
                <w:sz w:val="20"/>
              </w:rPr>
              <w:t>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БНС АСПиР (по согласованию),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сервисной модели оказания услуг передачи электрической энергии в целях получения энергоснабжающими организациями беспрепятственного доступа к регулируемой услуге энергопередающих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МНЭ, АЗРК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информационных систем государственных органов с порталом "Правительство для бизнеса"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МЦРИАП, НПП "Атамекен" (по согласованию), АО "Казахтелеком" (по согласованию), АО "НАРИ QazInnovations" (по согласованию), заинтересованные 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сокращение разницы и отмена дифференциации тарифов между группами потребителей на услуги электроснабжения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АЗРК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реализации сжиженного нефтяного газа через товарные биржи от общего объема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МЭ, АЗРК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реализации нефтепродуктов через товарные биржи от общего объема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МЭ, АЗРК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реализации угля через товарные биржи от общего объема производства напрямую региональным тупикам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МПС, АЗРК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онлайн цифровой платформы (market place) для смены поставщика электрической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АЗРК (по согласованию), АО "КОРЭМ"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масштабной информационной работы по формированию образа лидеров среди молодых фермеров, руководителей и специалистов, работающих в селах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МКИ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6"/>
          <w:p>
            <w:pPr>
              <w:spacing w:after="20"/>
              <w:ind w:left="20"/>
              <w:jc w:val="both"/>
            </w:pPr>
            <w:r>
              <w:rPr>
                <w:rFonts w:ascii="Times New Roman"/>
                <w:b w:val="false"/>
                <w:i w:val="false"/>
                <w:color w:val="000000"/>
                <w:sz w:val="20"/>
              </w:rPr>
              <w:t>
</w:t>
            </w:r>
            <w:r>
              <w:rPr>
                <w:rFonts w:ascii="Times New Roman"/>
                <w:b/>
                <w:i w:val="false"/>
                <w:color w:val="000000"/>
                <w:sz w:val="20"/>
              </w:rPr>
              <w:t>Направление 2. Создание стимулов для роста средних компаний</w:t>
            </w:r>
          </w:p>
          <w:bookmarkEnd w:id="116"/>
          <w:p>
            <w:pPr>
              <w:spacing w:after="20"/>
              <w:ind w:left="20"/>
              <w:jc w:val="both"/>
            </w:pPr>
            <w:r>
              <w:rPr>
                <w:rFonts w:ascii="Times New Roman"/>
                <w:b w:val="false"/>
                <w:i w:val="false"/>
                <w:color w:val="000000"/>
                <w:sz w:val="20"/>
              </w:rPr>
              <w:t>
</w:t>
            </w:r>
            <w:r>
              <w:rPr>
                <w:rFonts w:ascii="Times New Roman"/>
                <w:b/>
                <w:i w:val="false"/>
                <w:color w:val="000000"/>
                <w:sz w:val="20"/>
              </w:rPr>
              <w:t xml:space="preserve">Целевой индикатор 2. Доля средних компаний в ВВП </w:t>
            </w:r>
            <w:r>
              <w:rPr>
                <w:rFonts w:ascii="Times New Roman"/>
                <w:b/>
                <w:i w:val="false"/>
                <w:color w:val="000000"/>
                <w:sz w:val="20"/>
              </w:rPr>
              <w:t>–</w:t>
            </w:r>
            <w:r>
              <w:rPr>
                <w:rFonts w:ascii="Times New Roman"/>
                <w:b/>
                <w:i w:val="false"/>
                <w:color w:val="000000"/>
                <w:sz w:val="20"/>
              </w:rPr>
              <w:t xml:space="preserve"> 20</w:t>
            </w:r>
            <w:r>
              <w:rPr>
                <w:rFonts w:ascii="Times New Roman"/>
                <w:b w:val="false"/>
                <w:i w:val="false"/>
                <w:color w:val="000000"/>
                <w:sz w:val="20"/>
              </w:rPr>
              <w:t xml:space="preserve"> </w:t>
            </w:r>
            <w:r>
              <w:rPr>
                <w:rFonts w:ascii="Times New Roman"/>
                <w:b/>
                <w:i w:val="false"/>
                <w:color w:val="000000"/>
                <w:sz w:val="20"/>
              </w:rPr>
              <w:t>% (2022 г. – 6,9</w:t>
            </w:r>
            <w:r>
              <w:rPr>
                <w:rFonts w:ascii="Times New Roman"/>
                <w:b w:val="false"/>
                <w:i w:val="false"/>
                <w:color w:val="000000"/>
                <w:sz w:val="20"/>
              </w:rPr>
              <w:t xml:space="preserve"> </w:t>
            </w:r>
            <w:r>
              <w:rPr>
                <w:rFonts w:ascii="Times New Roman"/>
                <w:b/>
                <w:i w:val="false"/>
                <w:color w:val="000000"/>
                <w:sz w:val="20"/>
              </w:rPr>
              <w:t>%, 2023 г. – 8,5</w:t>
            </w:r>
            <w:r>
              <w:rPr>
                <w:rFonts w:ascii="Times New Roman"/>
                <w:b w:val="false"/>
                <w:i w:val="false"/>
                <w:color w:val="000000"/>
                <w:sz w:val="20"/>
              </w:rPr>
              <w:t xml:space="preserve"> </w:t>
            </w:r>
            <w:r>
              <w:rPr>
                <w:rFonts w:ascii="Times New Roman"/>
                <w:b/>
                <w:i w:val="false"/>
                <w:color w:val="000000"/>
                <w:sz w:val="20"/>
              </w:rPr>
              <w:t>%, 2024 г. – 11</w:t>
            </w:r>
            <w:r>
              <w:rPr>
                <w:rFonts w:ascii="Times New Roman"/>
                <w:b w:val="false"/>
                <w:i w:val="false"/>
                <w:color w:val="000000"/>
                <w:sz w:val="20"/>
              </w:rPr>
              <w:t xml:space="preserve"> </w:t>
            </w:r>
            <w:r>
              <w:rPr>
                <w:rFonts w:ascii="Times New Roman"/>
                <w:b/>
                <w:i w:val="false"/>
                <w:color w:val="000000"/>
                <w:sz w:val="20"/>
              </w:rPr>
              <w:t>%, 2025 г. – 15</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2026 г. – 16</w:t>
            </w:r>
            <w:r>
              <w:rPr>
                <w:rFonts w:ascii="Times New Roman"/>
                <w:b w:val="false"/>
                <w:i w:val="false"/>
                <w:color w:val="000000"/>
                <w:sz w:val="20"/>
              </w:rPr>
              <w:t xml:space="preserve"> </w:t>
            </w:r>
            <w:r>
              <w:rPr>
                <w:rFonts w:ascii="Times New Roman"/>
                <w:b/>
                <w:i w:val="false"/>
                <w:color w:val="000000"/>
                <w:sz w:val="20"/>
              </w:rPr>
              <w:t>%, 2027 г. – 16,5</w:t>
            </w:r>
            <w:r>
              <w:rPr>
                <w:rFonts w:ascii="Times New Roman"/>
                <w:b w:val="false"/>
                <w:i w:val="false"/>
                <w:color w:val="000000"/>
                <w:sz w:val="20"/>
              </w:rPr>
              <w:t xml:space="preserve"> </w:t>
            </w:r>
            <w:r>
              <w:rPr>
                <w:rFonts w:ascii="Times New Roman"/>
                <w:b/>
                <w:i w:val="false"/>
                <w:color w:val="000000"/>
                <w:sz w:val="20"/>
              </w:rPr>
              <w:t>%, 2028 г. – 18</w:t>
            </w:r>
            <w:r>
              <w:rPr>
                <w:rFonts w:ascii="Times New Roman"/>
                <w:b w:val="false"/>
                <w:i w:val="false"/>
                <w:color w:val="000000"/>
                <w:sz w:val="20"/>
              </w:rPr>
              <w:t xml:space="preserve"> </w:t>
            </w:r>
            <w:r>
              <w:rPr>
                <w:rFonts w:ascii="Times New Roman"/>
                <w:b/>
                <w:i w:val="false"/>
                <w:color w:val="000000"/>
                <w:sz w:val="20"/>
              </w:rPr>
              <w:t>%, 2029 г. – 19</w:t>
            </w:r>
            <w:r>
              <w:rPr>
                <w:rFonts w:ascii="Times New Roman"/>
                <w:b w:val="false"/>
                <w:i w:val="false"/>
                <w:color w:val="000000"/>
                <w:sz w:val="20"/>
              </w:rPr>
              <w:t xml:space="preserve"> </w:t>
            </w:r>
            <w:r>
              <w:rPr>
                <w:rFonts w:ascii="Times New Roman"/>
                <w:b/>
                <w:i w:val="false"/>
                <w:color w:val="000000"/>
                <w:sz w:val="20"/>
              </w:rPr>
              <w:t>%, 2030 г. – 20</w:t>
            </w:r>
            <w:r>
              <w:rPr>
                <w:rFonts w:ascii="Times New Roman"/>
                <w:b w:val="false"/>
                <w:i w:val="false"/>
                <w:color w:val="000000"/>
                <w:sz w:val="20"/>
              </w:rPr>
              <w:t xml:space="preserve"> </w:t>
            </w:r>
            <w:r>
              <w:rPr>
                <w:rFonts w:ascii="Times New Roman"/>
                <w:b/>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механизма формализации неформального имущества и прав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МФЦА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равного конкурентного поля по доступу к финансовым инструментам для субъектов МСП через использование цифровых решений на основе прозрачных и объективных рейтингов и критериев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инструмента "Развитие производственной (индустриальной) инфраструктуры" из мер государственной поддержки МСП за счет средств республиканского бюджета и перенос высвобождающихся ресурсов на инструмент "Развитие индустриальных 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внедрения стимулов для привлечения частных инвестиций в целях решения проблем с дефицитом качественной специализированной инфраструктуры, в том числе в специальных экономических и индустриальных зонах республиканского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7"/>
          <w:p>
            <w:pPr>
              <w:spacing w:after="20"/>
              <w:ind w:left="20"/>
              <w:jc w:val="both"/>
            </w:pPr>
            <w:r>
              <w:rPr>
                <w:rFonts w:ascii="Times New Roman"/>
                <w:b w:val="false"/>
                <w:i w:val="false"/>
                <w:color w:val="000000"/>
                <w:sz w:val="20"/>
              </w:rPr>
              <w:t>
IV квартал 2024 года</w:t>
            </w:r>
          </w:p>
          <w:bookmarkEnd w:id="1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МНЭ, МИО,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информационных систем государственных органов на предмет правильности начисления налогов и других обязательных платежей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8"/>
          <w:p>
            <w:pPr>
              <w:spacing w:after="20"/>
              <w:ind w:left="20"/>
              <w:jc w:val="both"/>
            </w:pPr>
            <w:r>
              <w:rPr>
                <w:rFonts w:ascii="Times New Roman"/>
                <w:b w:val="false"/>
                <w:i w:val="false"/>
                <w:color w:val="000000"/>
                <w:sz w:val="20"/>
              </w:rPr>
              <w:t>
I квартал 2024 года</w:t>
            </w:r>
          </w:p>
          <w:bookmarkEnd w:id="1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МЦРИАП,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требований для технического подключения к инфраструктуре субъектов естественных монополий и коммунального сектора (оказание услуг по принципу "одного окна" с использованием интегрированных цифровых платформ)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9"/>
          <w:p>
            <w:pPr>
              <w:spacing w:after="20"/>
              <w:ind w:left="20"/>
              <w:jc w:val="both"/>
            </w:pPr>
            <w:r>
              <w:rPr>
                <w:rFonts w:ascii="Times New Roman"/>
                <w:b w:val="false"/>
                <w:i w:val="false"/>
                <w:color w:val="000000"/>
                <w:sz w:val="20"/>
              </w:rPr>
              <w:t>
II квартал 2024 года</w:t>
            </w:r>
          </w:p>
          <w:bookmarkEnd w:id="1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обязательства по проведению процедур закупа по заключению офтейк-контрактов и расширение перечня заказчиков (включение системообразующих предприятий, субъектов естественных монополий и квазигосударственных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0"/>
          <w:p>
            <w:pPr>
              <w:spacing w:after="20"/>
              <w:ind w:left="20"/>
              <w:jc w:val="both"/>
            </w:pPr>
            <w:r>
              <w:rPr>
                <w:rFonts w:ascii="Times New Roman"/>
                <w:b w:val="false"/>
                <w:i w:val="false"/>
                <w:color w:val="000000"/>
                <w:sz w:val="20"/>
              </w:rPr>
              <w:t>
проект Закона Республики Казахстан</w:t>
            </w:r>
          </w:p>
          <w:bookmarkEnd w:id="1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Постепенный отказ от кросс-субсидирования тарифов на рынке коммунальных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национальной экономики Республики Каазахстан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нормы по обязательному использованию принципов открытого аукциона для доступа к основным факторам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1"/>
          <w:p>
            <w:pPr>
              <w:spacing w:after="20"/>
              <w:ind w:left="20"/>
              <w:jc w:val="both"/>
            </w:pPr>
            <w:r>
              <w:rPr>
                <w:rFonts w:ascii="Times New Roman"/>
                <w:b w:val="false"/>
                <w:i w:val="false"/>
                <w:color w:val="000000"/>
                <w:sz w:val="20"/>
              </w:rPr>
              <w:t>
проект Закона Республики Казахстан</w:t>
            </w:r>
          </w:p>
          <w:bookmarkEnd w:id="1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2"/>
          <w:p>
            <w:pPr>
              <w:spacing w:after="20"/>
              <w:ind w:left="20"/>
              <w:jc w:val="both"/>
            </w:pPr>
            <w:r>
              <w:rPr>
                <w:rFonts w:ascii="Times New Roman"/>
                <w:b w:val="false"/>
                <w:i w:val="false"/>
                <w:color w:val="000000"/>
                <w:sz w:val="20"/>
              </w:rPr>
              <w:t>
I квартал 2025 года</w:t>
            </w:r>
          </w:p>
          <w:bookmarkEnd w:id="1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АЗРК (по согласованию), АСПиР (по согласованию), МЭ, МТИ, МЦРИАП, МСХ, МЭПР, МФ,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в промышленную эксплуатацию веб-портала "Правительство для бизнеса", включающего маркетплейс услуг для бизнеса (государственные услуги, услуги НПП "Атамекен", финансовые и нефинансовые меры поддержки)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платформа "Портал для бизнеса"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 (по согласованию), МЦРИАП, МНЭ, МТСЗН, МИД, МПС, МТС, МСХ, МТИ, МЦРИАП, МЭПР, АО "НУХ "Байтерек"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равного, оперативного и адекватного по стоимости доступа бизнеса к ключевым факторам производства (ключевой мощности): земле, электроэнергии, инфраструктуре и сырью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МПС, МЭ, МСХ, МЦРИАП, АЗРК (по согласованию), НПП "Атамекен"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3"/>
          <w:p>
            <w:pPr>
              <w:spacing w:after="20"/>
              <w:ind w:left="20"/>
              <w:jc w:val="both"/>
            </w:pPr>
            <w:r>
              <w:rPr>
                <w:rFonts w:ascii="Times New Roman"/>
                <w:b w:val="false"/>
                <w:i w:val="false"/>
                <w:color w:val="000000"/>
                <w:sz w:val="20"/>
              </w:rPr>
              <w:t>
</w:t>
            </w:r>
            <w:r>
              <w:rPr>
                <w:rFonts w:ascii="Times New Roman"/>
                <w:b/>
                <w:i w:val="false"/>
                <w:color w:val="000000"/>
                <w:sz w:val="20"/>
              </w:rPr>
              <w:t>Направление 3. Сокращение теневого сектора в МСП.</w:t>
            </w:r>
          </w:p>
          <w:bookmarkEnd w:id="123"/>
          <w:p>
            <w:pPr>
              <w:spacing w:after="20"/>
              <w:ind w:left="20"/>
              <w:jc w:val="both"/>
            </w:pPr>
            <w:r>
              <w:rPr>
                <w:rFonts w:ascii="Times New Roman"/>
                <w:b w:val="false"/>
                <w:i w:val="false"/>
                <w:color w:val="000000"/>
                <w:sz w:val="20"/>
              </w:rPr>
              <w:t>
</w:t>
            </w:r>
            <w:r>
              <w:rPr>
                <w:rFonts w:ascii="Times New Roman"/>
                <w:b/>
                <w:i w:val="false"/>
                <w:color w:val="000000"/>
                <w:sz w:val="20"/>
              </w:rPr>
              <w:t xml:space="preserve">Целевой индикатор 3. Доля ненаблюдаемой экономики в ВВП </w:t>
            </w:r>
            <w:r>
              <w:rPr>
                <w:rFonts w:ascii="Times New Roman"/>
                <w:b/>
                <w:i w:val="false"/>
                <w:color w:val="000000"/>
                <w:sz w:val="20"/>
              </w:rPr>
              <w:t>–</w:t>
            </w:r>
            <w:r>
              <w:rPr>
                <w:rFonts w:ascii="Times New Roman"/>
                <w:b/>
                <w:i w:val="false"/>
                <w:color w:val="000000"/>
                <w:sz w:val="20"/>
              </w:rPr>
              <w:t xml:space="preserve"> 12</w:t>
            </w:r>
            <w:r>
              <w:rPr>
                <w:rFonts w:ascii="Times New Roman"/>
                <w:b w:val="false"/>
                <w:i w:val="false"/>
                <w:color w:val="000000"/>
                <w:sz w:val="20"/>
              </w:rPr>
              <w:t xml:space="preserve"> </w:t>
            </w:r>
            <w:r>
              <w:rPr>
                <w:rFonts w:ascii="Times New Roman"/>
                <w:b/>
                <w:i w:val="false"/>
                <w:color w:val="000000"/>
                <w:sz w:val="20"/>
              </w:rPr>
              <w:t>% (2022 г. – 1</w:t>
            </w:r>
            <w:r>
              <w:rPr>
                <w:rFonts w:ascii="Times New Roman"/>
                <w:b/>
                <w:i w:val="false"/>
                <w:color w:val="000000"/>
                <w:sz w:val="20"/>
              </w:rPr>
              <w:t xml:space="preserve">8,8 </w:t>
            </w:r>
            <w:r>
              <w:rPr>
                <w:rFonts w:ascii="Times New Roman"/>
                <w:b/>
                <w:i w:val="false"/>
                <w:color w:val="000000"/>
                <w:sz w:val="20"/>
              </w:rPr>
              <w:t>%, 2023 г. – 18,2</w:t>
            </w:r>
            <w:r>
              <w:rPr>
                <w:rFonts w:ascii="Times New Roman"/>
                <w:b w:val="false"/>
                <w:i w:val="false"/>
                <w:color w:val="000000"/>
                <w:sz w:val="20"/>
              </w:rPr>
              <w:t xml:space="preserve"> </w:t>
            </w:r>
            <w:r>
              <w:rPr>
                <w:rFonts w:ascii="Times New Roman"/>
                <w:b/>
                <w:i w:val="false"/>
                <w:color w:val="000000"/>
                <w:sz w:val="20"/>
              </w:rPr>
              <w:t>%, 2024 г. – 16,6</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2025 г. – 15</w:t>
            </w:r>
            <w:r>
              <w:rPr>
                <w:rFonts w:ascii="Times New Roman"/>
                <w:b w:val="false"/>
                <w:i w:val="false"/>
                <w:color w:val="000000"/>
                <w:sz w:val="20"/>
              </w:rPr>
              <w:t xml:space="preserve"> </w:t>
            </w:r>
            <w:r>
              <w:rPr>
                <w:rFonts w:ascii="Times New Roman"/>
                <w:b/>
                <w:i w:val="false"/>
                <w:color w:val="000000"/>
                <w:sz w:val="20"/>
              </w:rPr>
              <w:t>%, 2026 г. – 14,5</w:t>
            </w:r>
            <w:r>
              <w:rPr>
                <w:rFonts w:ascii="Times New Roman"/>
                <w:b w:val="false"/>
                <w:i w:val="false"/>
                <w:color w:val="000000"/>
                <w:sz w:val="20"/>
              </w:rPr>
              <w:t xml:space="preserve"> </w:t>
            </w:r>
            <w:r>
              <w:rPr>
                <w:rFonts w:ascii="Times New Roman"/>
                <w:b/>
                <w:i w:val="false"/>
                <w:color w:val="000000"/>
                <w:sz w:val="20"/>
              </w:rPr>
              <w:t>%, 2027 г. – 14</w:t>
            </w:r>
            <w:r>
              <w:rPr>
                <w:rFonts w:ascii="Times New Roman"/>
                <w:b w:val="false"/>
                <w:i w:val="false"/>
                <w:color w:val="000000"/>
                <w:sz w:val="20"/>
              </w:rPr>
              <w:t xml:space="preserve"> </w:t>
            </w:r>
            <w:r>
              <w:rPr>
                <w:rFonts w:ascii="Times New Roman"/>
                <w:b/>
                <w:i w:val="false"/>
                <w:color w:val="000000"/>
                <w:sz w:val="20"/>
              </w:rPr>
              <w:t>%, 2028 г. – 13,8</w:t>
            </w:r>
            <w:r>
              <w:rPr>
                <w:rFonts w:ascii="Times New Roman"/>
                <w:b w:val="false"/>
                <w:i w:val="false"/>
                <w:color w:val="000000"/>
                <w:sz w:val="20"/>
              </w:rPr>
              <w:t xml:space="preserve"> </w:t>
            </w:r>
            <w:r>
              <w:rPr>
                <w:rFonts w:ascii="Times New Roman"/>
                <w:b/>
                <w:i w:val="false"/>
                <w:color w:val="000000"/>
                <w:sz w:val="20"/>
              </w:rPr>
              <w:t>%, 2029 г. – 13</w:t>
            </w:r>
            <w:r>
              <w:rPr>
                <w:rFonts w:ascii="Times New Roman"/>
                <w:b w:val="false"/>
                <w:i w:val="false"/>
                <w:color w:val="000000"/>
                <w:sz w:val="20"/>
              </w:rPr>
              <w:t xml:space="preserve"> </w:t>
            </w:r>
            <w:r>
              <w:rPr>
                <w:rFonts w:ascii="Times New Roman"/>
                <w:b/>
                <w:i w:val="false"/>
                <w:color w:val="000000"/>
                <w:sz w:val="20"/>
              </w:rPr>
              <w:t>%, 2030 г. – 12</w:t>
            </w:r>
            <w:r>
              <w:rPr>
                <w:rFonts w:ascii="Times New Roman"/>
                <w:b w:val="false"/>
                <w:i w:val="false"/>
                <w:color w:val="000000"/>
                <w:sz w:val="20"/>
              </w:rPr>
              <w:t xml:space="preserve"> </w:t>
            </w:r>
            <w:r>
              <w:rPr>
                <w:rFonts w:ascii="Times New Roman"/>
                <w:b/>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специальных налоговых режимов по итогам ревизии их целесообразности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Кодекса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НПП "Атамекен" (по согласованию)</w:t>
            </w:r>
          </w:p>
        </w:tc>
      </w:tr>
    </w:tbl>
    <w:bookmarkStart w:name="z135" w:id="124"/>
    <w:p>
      <w:pPr>
        <w:spacing w:after="0"/>
        <w:ind w:left="0"/>
        <w:jc w:val="both"/>
      </w:pPr>
      <w:r>
        <w:rPr>
          <w:rFonts w:ascii="Times New Roman"/>
          <w:b w:val="false"/>
          <w:i w:val="false"/>
          <w:color w:val="000000"/>
          <w:sz w:val="28"/>
        </w:rPr>
        <w:t>
      Примечание: расшифровка аббревиатур:</w:t>
      </w:r>
    </w:p>
    <w:bookmarkEnd w:id="124"/>
    <w:bookmarkStart w:name="z136" w:id="125"/>
    <w:p>
      <w:pPr>
        <w:spacing w:after="0"/>
        <w:ind w:left="0"/>
        <w:jc w:val="both"/>
      </w:pPr>
      <w:r>
        <w:rPr>
          <w:rFonts w:ascii="Times New Roman"/>
          <w:b w:val="false"/>
          <w:i w:val="false"/>
          <w:color w:val="000000"/>
          <w:sz w:val="28"/>
        </w:rPr>
        <w:t>
      МФЦА – Международный финансовый центр "Астана";</w:t>
      </w:r>
    </w:p>
    <w:bookmarkEnd w:id="125"/>
    <w:bookmarkStart w:name="z137" w:id="126"/>
    <w:p>
      <w:pPr>
        <w:spacing w:after="0"/>
        <w:ind w:left="0"/>
        <w:jc w:val="both"/>
      </w:pPr>
      <w:r>
        <w:rPr>
          <w:rFonts w:ascii="Times New Roman"/>
          <w:b w:val="false"/>
          <w:i w:val="false"/>
          <w:color w:val="000000"/>
          <w:sz w:val="28"/>
        </w:rPr>
        <w:t>
      НПП "Атамекен" – Национальная палата предпринимателей Республики Казахстан "Атамекен";</w:t>
      </w:r>
    </w:p>
    <w:bookmarkEnd w:id="126"/>
    <w:bookmarkStart w:name="z138" w:id="127"/>
    <w:p>
      <w:pPr>
        <w:spacing w:after="0"/>
        <w:ind w:left="0"/>
        <w:jc w:val="both"/>
      </w:pPr>
      <w:r>
        <w:rPr>
          <w:rFonts w:ascii="Times New Roman"/>
          <w:b w:val="false"/>
          <w:i w:val="false"/>
          <w:color w:val="000000"/>
          <w:sz w:val="28"/>
        </w:rPr>
        <w:t>
      МСХ – Министерство сельского хозяйства Республики Казахстан;</w:t>
      </w:r>
    </w:p>
    <w:bookmarkEnd w:id="127"/>
    <w:bookmarkStart w:name="z139" w:id="128"/>
    <w:p>
      <w:pPr>
        <w:spacing w:after="0"/>
        <w:ind w:left="0"/>
        <w:jc w:val="both"/>
      </w:pPr>
      <w:r>
        <w:rPr>
          <w:rFonts w:ascii="Times New Roman"/>
          <w:b w:val="false"/>
          <w:i w:val="false"/>
          <w:color w:val="000000"/>
          <w:sz w:val="28"/>
        </w:rPr>
        <w:t>
      АО "НУХ "Байтерек" – акционерное общество "Национальный управляющий холдинг "Байтерек";</w:t>
      </w:r>
    </w:p>
    <w:bookmarkEnd w:id="128"/>
    <w:bookmarkStart w:name="z140" w:id="129"/>
    <w:p>
      <w:pPr>
        <w:spacing w:after="0"/>
        <w:ind w:left="0"/>
        <w:jc w:val="both"/>
      </w:pPr>
      <w:r>
        <w:rPr>
          <w:rFonts w:ascii="Times New Roman"/>
          <w:b w:val="false"/>
          <w:i w:val="false"/>
          <w:color w:val="000000"/>
          <w:sz w:val="28"/>
        </w:rPr>
        <w:t>
      АЗРК – Агентство по защите и развитию конкуренции Республики Казахстан;</w:t>
      </w:r>
    </w:p>
    <w:bookmarkEnd w:id="129"/>
    <w:bookmarkStart w:name="z141" w:id="130"/>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130"/>
    <w:bookmarkStart w:name="z142" w:id="131"/>
    <w:p>
      <w:pPr>
        <w:spacing w:after="0"/>
        <w:ind w:left="0"/>
        <w:jc w:val="both"/>
      </w:pPr>
      <w:r>
        <w:rPr>
          <w:rFonts w:ascii="Times New Roman"/>
          <w:b w:val="false"/>
          <w:i w:val="false"/>
          <w:color w:val="000000"/>
          <w:sz w:val="28"/>
        </w:rPr>
        <w:t>
      БВУ – банки второго уровня;</w:t>
      </w:r>
    </w:p>
    <w:bookmarkEnd w:id="131"/>
    <w:bookmarkStart w:name="z143" w:id="132"/>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132"/>
    <w:bookmarkStart w:name="z144" w:id="133"/>
    <w:p>
      <w:pPr>
        <w:spacing w:after="0"/>
        <w:ind w:left="0"/>
        <w:jc w:val="both"/>
      </w:pPr>
      <w:r>
        <w:rPr>
          <w:rFonts w:ascii="Times New Roman"/>
          <w:b w:val="false"/>
          <w:i w:val="false"/>
          <w:color w:val="000000"/>
          <w:sz w:val="28"/>
        </w:rPr>
        <w:t>
      МИО – местные исполнительные органы;</w:t>
      </w:r>
    </w:p>
    <w:bookmarkEnd w:id="133"/>
    <w:bookmarkStart w:name="z145" w:id="134"/>
    <w:p>
      <w:pPr>
        <w:spacing w:after="0"/>
        <w:ind w:left="0"/>
        <w:jc w:val="both"/>
      </w:pPr>
      <w:r>
        <w:rPr>
          <w:rFonts w:ascii="Times New Roman"/>
          <w:b w:val="false"/>
          <w:i w:val="false"/>
          <w:color w:val="000000"/>
          <w:sz w:val="28"/>
        </w:rPr>
        <w:t>
      ВВП – валовой внутренний продукт;</w:t>
      </w:r>
    </w:p>
    <w:bookmarkEnd w:id="134"/>
    <w:bookmarkStart w:name="z146" w:id="135"/>
    <w:p>
      <w:pPr>
        <w:spacing w:after="0"/>
        <w:ind w:left="0"/>
        <w:jc w:val="both"/>
      </w:pPr>
      <w:r>
        <w:rPr>
          <w:rFonts w:ascii="Times New Roman"/>
          <w:b w:val="false"/>
          <w:i w:val="false"/>
          <w:color w:val="000000"/>
          <w:sz w:val="28"/>
        </w:rPr>
        <w:t>
      МФ – Министерство финансов Республики Казахстан;</w:t>
      </w:r>
    </w:p>
    <w:bookmarkEnd w:id="135"/>
    <w:bookmarkStart w:name="z147" w:id="136"/>
    <w:p>
      <w:pPr>
        <w:spacing w:after="0"/>
        <w:ind w:left="0"/>
        <w:jc w:val="both"/>
      </w:pPr>
      <w:r>
        <w:rPr>
          <w:rFonts w:ascii="Times New Roman"/>
          <w:b w:val="false"/>
          <w:i w:val="false"/>
          <w:color w:val="000000"/>
          <w:sz w:val="28"/>
        </w:rPr>
        <w:t>
      АРРФР – Агентство Республики Казахстан по регулированию и развитию финансового рынка;</w:t>
      </w:r>
    </w:p>
    <w:bookmarkEnd w:id="136"/>
    <w:bookmarkStart w:name="z148" w:id="137"/>
    <w:p>
      <w:pPr>
        <w:spacing w:after="0"/>
        <w:ind w:left="0"/>
        <w:jc w:val="both"/>
      </w:pPr>
      <w:r>
        <w:rPr>
          <w:rFonts w:ascii="Times New Roman"/>
          <w:b w:val="false"/>
          <w:i w:val="false"/>
          <w:color w:val="000000"/>
          <w:sz w:val="28"/>
        </w:rPr>
        <w:t>
      МКИ – Министерство культуры и информации Республики Казахстан;</w:t>
      </w:r>
    </w:p>
    <w:bookmarkEnd w:id="137"/>
    <w:bookmarkStart w:name="z149" w:id="138"/>
    <w:p>
      <w:pPr>
        <w:spacing w:after="0"/>
        <w:ind w:left="0"/>
        <w:jc w:val="both"/>
      </w:pPr>
      <w:r>
        <w:rPr>
          <w:rFonts w:ascii="Times New Roman"/>
          <w:b w:val="false"/>
          <w:i w:val="false"/>
          <w:color w:val="000000"/>
          <w:sz w:val="28"/>
        </w:rPr>
        <w:t>
      ГО – государственные органы;</w:t>
      </w:r>
    </w:p>
    <w:bookmarkEnd w:id="138"/>
    <w:bookmarkStart w:name="z150" w:id="139"/>
    <w:p>
      <w:pPr>
        <w:spacing w:after="0"/>
        <w:ind w:left="0"/>
        <w:jc w:val="both"/>
      </w:pPr>
      <w:r>
        <w:rPr>
          <w:rFonts w:ascii="Times New Roman"/>
          <w:b w:val="false"/>
          <w:i w:val="false"/>
          <w:color w:val="000000"/>
          <w:sz w:val="28"/>
        </w:rPr>
        <w:t>
      МПС – Министерство промышленности и строительства Республики Казахстан;</w:t>
      </w:r>
    </w:p>
    <w:bookmarkEnd w:id="139"/>
    <w:bookmarkStart w:name="z151" w:id="140"/>
    <w:p>
      <w:pPr>
        <w:spacing w:after="0"/>
        <w:ind w:left="0"/>
        <w:jc w:val="both"/>
      </w:pPr>
      <w:r>
        <w:rPr>
          <w:rFonts w:ascii="Times New Roman"/>
          <w:b w:val="false"/>
          <w:i w:val="false"/>
          <w:color w:val="000000"/>
          <w:sz w:val="28"/>
        </w:rPr>
        <w:t>
      АП – Администрация Президента Республики Казахстан;</w:t>
      </w:r>
    </w:p>
    <w:bookmarkEnd w:id="140"/>
    <w:bookmarkStart w:name="z152" w:id="141"/>
    <w:p>
      <w:pPr>
        <w:spacing w:after="0"/>
        <w:ind w:left="0"/>
        <w:jc w:val="both"/>
      </w:pPr>
      <w:r>
        <w:rPr>
          <w:rFonts w:ascii="Times New Roman"/>
          <w:b w:val="false"/>
          <w:i w:val="false"/>
          <w:color w:val="000000"/>
          <w:sz w:val="28"/>
        </w:rPr>
        <w:t>
      АСПиР – Агентство по стратегическому планированию и реформам Республики Казахстан;</w:t>
      </w:r>
    </w:p>
    <w:bookmarkEnd w:id="141"/>
    <w:bookmarkStart w:name="z153" w:id="142"/>
    <w:p>
      <w:pPr>
        <w:spacing w:after="0"/>
        <w:ind w:left="0"/>
        <w:jc w:val="both"/>
      </w:pPr>
      <w:r>
        <w:rPr>
          <w:rFonts w:ascii="Times New Roman"/>
          <w:b w:val="false"/>
          <w:i w:val="false"/>
          <w:color w:val="000000"/>
          <w:sz w:val="28"/>
        </w:rPr>
        <w:t>
      БНС АСПиР – Бюро национальной статистики Агентства по стратегическому планированию и реформам Республики Казахстан;</w:t>
      </w:r>
    </w:p>
    <w:bookmarkEnd w:id="142"/>
    <w:bookmarkStart w:name="z154" w:id="143"/>
    <w:p>
      <w:pPr>
        <w:spacing w:after="0"/>
        <w:ind w:left="0"/>
        <w:jc w:val="both"/>
      </w:pPr>
      <w:r>
        <w:rPr>
          <w:rFonts w:ascii="Times New Roman"/>
          <w:b w:val="false"/>
          <w:i w:val="false"/>
          <w:color w:val="000000"/>
          <w:sz w:val="28"/>
        </w:rPr>
        <w:t>
      МТИ – Министерство торговли и интеграции Республики Казахстан;</w:t>
      </w:r>
    </w:p>
    <w:bookmarkEnd w:id="143"/>
    <w:bookmarkStart w:name="z155" w:id="144"/>
    <w:p>
      <w:pPr>
        <w:spacing w:after="0"/>
        <w:ind w:left="0"/>
        <w:jc w:val="both"/>
      </w:pPr>
      <w:r>
        <w:rPr>
          <w:rFonts w:ascii="Times New Roman"/>
          <w:b w:val="false"/>
          <w:i w:val="false"/>
          <w:color w:val="000000"/>
          <w:sz w:val="28"/>
        </w:rPr>
        <w:t>
      МИД – Министерство иностранных дел Республики Казахстан;</w:t>
      </w:r>
    </w:p>
    <w:bookmarkEnd w:id="144"/>
    <w:bookmarkStart w:name="z156" w:id="145"/>
    <w:p>
      <w:pPr>
        <w:spacing w:after="0"/>
        <w:ind w:left="0"/>
        <w:jc w:val="both"/>
      </w:pPr>
      <w:r>
        <w:rPr>
          <w:rFonts w:ascii="Times New Roman"/>
          <w:b w:val="false"/>
          <w:i w:val="false"/>
          <w:color w:val="000000"/>
          <w:sz w:val="28"/>
        </w:rPr>
        <w:t>
      МТС – Министерство туризма и спорта Республики Казахстан;</w:t>
      </w:r>
    </w:p>
    <w:bookmarkEnd w:id="145"/>
    <w:bookmarkStart w:name="z157" w:id="146"/>
    <w:p>
      <w:pPr>
        <w:spacing w:after="0"/>
        <w:ind w:left="0"/>
        <w:jc w:val="both"/>
      </w:pPr>
      <w:r>
        <w:rPr>
          <w:rFonts w:ascii="Times New Roman"/>
          <w:b w:val="false"/>
          <w:i w:val="false"/>
          <w:color w:val="000000"/>
          <w:sz w:val="28"/>
        </w:rPr>
        <w:t>
      НБ – Национальный Банк Республики Казахстан;</w:t>
      </w:r>
    </w:p>
    <w:bookmarkEnd w:id="146"/>
    <w:bookmarkStart w:name="z158" w:id="147"/>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147"/>
    <w:bookmarkStart w:name="z159" w:id="148"/>
    <w:p>
      <w:pPr>
        <w:spacing w:after="0"/>
        <w:ind w:left="0"/>
        <w:jc w:val="both"/>
      </w:pPr>
      <w:r>
        <w:rPr>
          <w:rFonts w:ascii="Times New Roman"/>
          <w:b w:val="false"/>
          <w:i w:val="false"/>
          <w:color w:val="000000"/>
          <w:sz w:val="28"/>
        </w:rPr>
        <w:t>
      АПр – Аппарат Правительства Республики Казахстан;</w:t>
      </w:r>
    </w:p>
    <w:bookmarkEnd w:id="148"/>
    <w:bookmarkStart w:name="z160" w:id="149"/>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bookmarkEnd w:id="149"/>
    <w:bookmarkStart w:name="z161" w:id="150"/>
    <w:p>
      <w:pPr>
        <w:spacing w:after="0"/>
        <w:ind w:left="0"/>
        <w:jc w:val="both"/>
      </w:pPr>
      <w:r>
        <w:rPr>
          <w:rFonts w:ascii="Times New Roman"/>
          <w:b w:val="false"/>
          <w:i w:val="false"/>
          <w:color w:val="000000"/>
          <w:sz w:val="28"/>
        </w:rPr>
        <w:t>
      МСП – малое и среднее предпринимательство;</w:t>
      </w:r>
    </w:p>
    <w:bookmarkEnd w:id="150"/>
    <w:bookmarkStart w:name="z162" w:id="151"/>
    <w:p>
      <w:pPr>
        <w:spacing w:after="0"/>
        <w:ind w:left="0"/>
        <w:jc w:val="both"/>
      </w:pPr>
      <w:r>
        <w:rPr>
          <w:rFonts w:ascii="Times New Roman"/>
          <w:b w:val="false"/>
          <w:i w:val="false"/>
          <w:color w:val="000000"/>
          <w:sz w:val="28"/>
        </w:rPr>
        <w:t>
      АО "КОРЭМ" – акционерное общество "Казахстанский оператор рынка в электрической энергии и мощности";</w:t>
      </w:r>
    </w:p>
    <w:bookmarkEnd w:id="151"/>
    <w:bookmarkStart w:name="z163" w:id="152"/>
    <w:p>
      <w:pPr>
        <w:spacing w:after="0"/>
        <w:ind w:left="0"/>
        <w:jc w:val="both"/>
      </w:pPr>
      <w:r>
        <w:rPr>
          <w:rFonts w:ascii="Times New Roman"/>
          <w:b w:val="false"/>
          <w:i w:val="false"/>
          <w:color w:val="000000"/>
          <w:sz w:val="28"/>
        </w:rPr>
        <w:t>
      МЭ – Министерство энергетики Республики Казахстан;</w:t>
      </w:r>
    </w:p>
    <w:bookmarkEnd w:id="152"/>
    <w:bookmarkStart w:name="z164" w:id="153"/>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153"/>
    <w:bookmarkStart w:name="z165" w:id="154"/>
    <w:p>
      <w:pPr>
        <w:spacing w:after="0"/>
        <w:ind w:left="0"/>
        <w:jc w:val="both"/>
      </w:pPr>
      <w:r>
        <w:rPr>
          <w:rFonts w:ascii="Times New Roman"/>
          <w:b w:val="false"/>
          <w:i w:val="false"/>
          <w:color w:val="000000"/>
          <w:sz w:val="28"/>
        </w:rPr>
        <w:t>
      АО "НАРИ "QazInnovations" – акционерное общество "Национальное агентство по развитию инноваций "QazInnovations".</w:t>
      </w:r>
    </w:p>
    <w:bookmarkEnd w:id="154"/>
    <w:bookmarkStart w:name="z166" w:id="155"/>
    <w:p>
      <w:pPr>
        <w:spacing w:after="0"/>
        <w:ind w:left="0"/>
        <w:jc w:val="both"/>
      </w:pPr>
      <w:r>
        <w:rPr>
          <w:rFonts w:ascii="Times New Roman"/>
          <w:b w:val="false"/>
          <w:i w:val="false"/>
          <w:color w:val="000000"/>
          <w:sz w:val="28"/>
        </w:rPr>
        <w:t>
      ________________________________</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