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7ae5" w14:textId="f517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2024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соответственно.";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"32-3. Оригиналы государственных гарантий по поддержке экспорта подлежат хранению до полного исполнения Экспортно-кредитным агентством Казахстана всех обязательств перед Правительством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25 марта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гарантированных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 государства 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государственной гарантии по поддержке экспорта № ___ от "___" ________ 20___ года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от "___" ________ 20___ года</w:t>
            </w:r>
          </w:p>
        </w:tc>
      </w:tr>
    </w:tbl>
    <w:p>
      <w:pPr>
        <w:spacing w:after="0"/>
        <w:ind w:left="0"/>
        <w:jc w:val="both"/>
      </w:pPr>
      <w:bookmarkStart w:name="z27" w:id="10"/>
      <w:r>
        <w:rPr>
          <w:rFonts w:ascii="Times New Roman"/>
          <w:b w:val="false"/>
          <w:i w:val="false"/>
          <w:color w:val="000000"/>
          <w:sz w:val="28"/>
        </w:rPr>
        <w:t>
      Настоящим Министерство финансов Республики Казахстан регистрирует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гарантию по поддержке экспорта под номером ___________.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Экспортно-кредитного агентства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Сумма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 выдачи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