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664d" w14:textId="1dd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2024 года № 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Всанаторныхорганизациях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 длительностьюпребывания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 живыми бактериями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в летний оздоровительный период (до 90 дней), воскресные, праздничные дни, дни каникул норма расходов на питание увеличивается на 10 процентов;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воскресные и праздничные дни, а также в период болезни продукты в соответствии с нормами питания или наличные деньги в пределах стоимости питания;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человека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с малым содержанием сахара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летний оздоровительный период (до 90 дней), воскресные, праздничные дни и дни каникул норма расходов на питание увеличивается на 10 процентов;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горячего питания, а также при наличии одно-двухразового питания обучающимся в организациях технического и профессионального, послесреднего образования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