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2a611" w14:textId="d02a6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31 декабря 2021 года № 996 "Об утверждении классификации (таксономии) "зеленых" проектов, подлежащих финансированию через "зеленые" облигации и "зеленые" кредиты"</w:t>
      </w:r>
    </w:p>
    <w:p>
      <w:pPr>
        <w:spacing w:after="0"/>
        <w:ind w:left="0"/>
        <w:jc w:val="both"/>
      </w:pPr>
      <w:r>
        <w:rPr>
          <w:rFonts w:ascii="Times New Roman"/>
          <w:b w:val="false"/>
          <w:i w:val="false"/>
          <w:color w:val="000000"/>
          <w:sz w:val="28"/>
        </w:rPr>
        <w:t>Постановление Правительства Республики Казахстан от 27 марта 2024 года № 232.</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декабря 2021 года № 996 "Об утверждении классификации (таксономии) "зеленых" проектов, подлежащих финансированию через "зеленые" облигации и "зеленые" кредиты"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классификации</w:t>
      </w:r>
      <w:r>
        <w:rPr>
          <w:rFonts w:ascii="Times New Roman"/>
          <w:b w:val="false"/>
          <w:i w:val="false"/>
          <w:color w:val="000000"/>
          <w:sz w:val="28"/>
        </w:rPr>
        <w:t xml:space="preserve"> (таксономии) "зеленых" проектов, подлежащих финансированию через "зеленые" облигации и "зеленые" кредиты, утвержденной указанным постановлением: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xml:space="preserve">
      "1. Настоящая классификация (таксономия) "зеленых" проектов, подлежащих финансированию через "зеленые" облигации и "зеленые" кредиты (далее – таксономия), разработана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130 Экологического кодекса Республики Казахстан (далее – Кодекс) и представляет собой систему классификации категорий "зеленых" проектов, подлежащих финансированию через "зеленые" облигации и "зеленые" кредиты (включая количественные и качественные пороговые значения) и направленных на повышение эффективности использования существующих природных ресурсов, снижение уровня негативного воздействия на окружающую среду, повышение энергоэффективности, энергосбережения, смягчение последствий изменения климата и адаптацию к изменению климата, приведенную в приложении к настоящей таксономии.";</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"3. Таксономия включает следующие категории:</w:t>
      </w:r>
    </w:p>
    <w:bookmarkEnd w:id="4"/>
    <w:bookmarkStart w:name="z11" w:id="5"/>
    <w:p>
      <w:pPr>
        <w:spacing w:after="0"/>
        <w:ind w:left="0"/>
        <w:jc w:val="both"/>
      </w:pPr>
      <w:r>
        <w:rPr>
          <w:rFonts w:ascii="Times New Roman"/>
          <w:b w:val="false"/>
          <w:i w:val="false"/>
          <w:color w:val="000000"/>
          <w:sz w:val="28"/>
        </w:rPr>
        <w:t>
      1) возобновляемую энергию (ветряная, солнечная, геотермальная, гидро-, биоэнергия, цепочка поставок и вспомогательная инфраструктура для возобновляемых источников энергии, производство водорода);</w:t>
      </w:r>
    </w:p>
    <w:bookmarkEnd w:id="5"/>
    <w:bookmarkStart w:name="z12" w:id="6"/>
    <w:p>
      <w:pPr>
        <w:spacing w:after="0"/>
        <w:ind w:left="0"/>
        <w:jc w:val="both"/>
      </w:pPr>
      <w:r>
        <w:rPr>
          <w:rFonts w:ascii="Times New Roman"/>
          <w:b w:val="false"/>
          <w:i w:val="false"/>
          <w:color w:val="000000"/>
          <w:sz w:val="28"/>
        </w:rPr>
        <w:t>
      2) энергоэффективность (повышение энергоэффективности на существующих и строящихся промышленных объектах и в агропромышленном секторе, повышение энергоэффективности в бюджетном и коммунальном секторах, энергоэффективные здания, строения и сооружения);</w:t>
      </w:r>
    </w:p>
    <w:bookmarkEnd w:id="6"/>
    <w:bookmarkStart w:name="z13" w:id="7"/>
    <w:p>
      <w:pPr>
        <w:spacing w:after="0"/>
        <w:ind w:left="0"/>
        <w:jc w:val="both"/>
      </w:pPr>
      <w:r>
        <w:rPr>
          <w:rFonts w:ascii="Times New Roman"/>
          <w:b w:val="false"/>
          <w:i w:val="false"/>
          <w:color w:val="000000"/>
          <w:sz w:val="28"/>
        </w:rPr>
        <w:t>
      3) "зеленые" здания ("зеленые" здания, сопутствующие системы и строительные материалы, "зеленая" инфраструктура);</w:t>
      </w:r>
    </w:p>
    <w:bookmarkEnd w:id="7"/>
    <w:bookmarkStart w:name="z14" w:id="8"/>
    <w:p>
      <w:pPr>
        <w:spacing w:after="0"/>
        <w:ind w:left="0"/>
        <w:jc w:val="both"/>
      </w:pPr>
      <w:r>
        <w:rPr>
          <w:rFonts w:ascii="Times New Roman"/>
          <w:b w:val="false"/>
          <w:i w:val="false"/>
          <w:color w:val="000000"/>
          <w:sz w:val="28"/>
        </w:rPr>
        <w:t>
      4) предотвращение и контроль загрязнения (качество воздуха, почвы);</w:t>
      </w:r>
    </w:p>
    <w:bookmarkEnd w:id="8"/>
    <w:bookmarkStart w:name="z15" w:id="9"/>
    <w:p>
      <w:pPr>
        <w:spacing w:after="0"/>
        <w:ind w:left="0"/>
        <w:jc w:val="both"/>
      </w:pPr>
      <w:r>
        <w:rPr>
          <w:rFonts w:ascii="Times New Roman"/>
          <w:b w:val="false"/>
          <w:i w:val="false"/>
          <w:color w:val="000000"/>
          <w:sz w:val="28"/>
        </w:rPr>
        <w:t>
      5) устойчивое использование воды, отходов (устойчивое использование воды и водосбережение, отходы и сточные воды, сохранение и восстановление ресурсов);</w:t>
      </w:r>
    </w:p>
    <w:bookmarkEnd w:id="9"/>
    <w:bookmarkStart w:name="z16" w:id="10"/>
    <w:p>
      <w:pPr>
        <w:spacing w:after="0"/>
        <w:ind w:left="0"/>
        <w:jc w:val="both"/>
      </w:pPr>
      <w:r>
        <w:rPr>
          <w:rFonts w:ascii="Times New Roman"/>
          <w:b w:val="false"/>
          <w:i w:val="false"/>
          <w:color w:val="000000"/>
          <w:sz w:val="28"/>
        </w:rPr>
        <w:t>
      6) устойчивое сельское хозяйство, землепользование, лесное хозяйство, сохранение биоразнообразия и экологический туризм (устойчивое сельское хозяйство, устойчивое управление лесами и сохранение биоразнообразия и экосистем, устойчивый туризм);</w:t>
      </w:r>
    </w:p>
    <w:bookmarkEnd w:id="10"/>
    <w:bookmarkStart w:name="z17" w:id="11"/>
    <w:p>
      <w:pPr>
        <w:spacing w:after="0"/>
        <w:ind w:left="0"/>
        <w:jc w:val="both"/>
      </w:pPr>
      <w:r>
        <w:rPr>
          <w:rFonts w:ascii="Times New Roman"/>
          <w:b w:val="false"/>
          <w:i w:val="false"/>
          <w:color w:val="000000"/>
          <w:sz w:val="28"/>
        </w:rPr>
        <w:t>
      7) чистый транспорт (низкоуглеродные транспортные средства, низкоуглеродные грузоперевозки, чистая транспортная инфраструктура, чистые транспортные информационные и коммуникационные технологии);</w:t>
      </w:r>
    </w:p>
    <w:bookmarkEnd w:id="11"/>
    <w:bookmarkStart w:name="z18" w:id="12"/>
    <w:p>
      <w:pPr>
        <w:spacing w:after="0"/>
        <w:ind w:left="0"/>
        <w:jc w:val="both"/>
      </w:pPr>
      <w:r>
        <w:rPr>
          <w:rFonts w:ascii="Times New Roman"/>
          <w:b w:val="false"/>
          <w:i w:val="false"/>
          <w:color w:val="000000"/>
          <w:sz w:val="28"/>
        </w:rPr>
        <w:t>
      8) переходную энергетику (производство электроэнергии и тепла из газообразного ископаемого топлива, замена топлива, производство оборудования для атомной энергетики, строительство и эксплуатация атомных электростанций).";</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таксономии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20" w:id="13"/>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Премьер-Министр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Бектенов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марта 2024 года № 232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к классификации (таксономии)</w:t>
            </w:r>
            <w:r>
              <w:br/>
            </w:r>
            <w:r>
              <w:rPr>
                <w:rFonts w:ascii="Times New Roman"/>
                <w:b w:val="false"/>
                <w:i w:val="false"/>
                <w:color w:val="000000"/>
                <w:sz w:val="20"/>
              </w:rPr>
              <w:t>"зеленых" проектов,</w:t>
            </w:r>
            <w:r>
              <w:br/>
            </w:r>
            <w:r>
              <w:rPr>
                <w:rFonts w:ascii="Times New Roman"/>
                <w:b w:val="false"/>
                <w:i w:val="false"/>
                <w:color w:val="000000"/>
                <w:sz w:val="20"/>
              </w:rPr>
              <w:t>подлежащих финансированию</w:t>
            </w:r>
            <w:r>
              <w:br/>
            </w:r>
            <w:r>
              <w:rPr>
                <w:rFonts w:ascii="Times New Roman"/>
                <w:b w:val="false"/>
                <w:i w:val="false"/>
                <w:color w:val="000000"/>
                <w:sz w:val="20"/>
              </w:rPr>
              <w:t>через "зеленые" облигации и</w:t>
            </w:r>
            <w:r>
              <w:br/>
            </w:r>
            <w:r>
              <w:rPr>
                <w:rFonts w:ascii="Times New Roman"/>
                <w:b w:val="false"/>
                <w:i w:val="false"/>
                <w:color w:val="000000"/>
                <w:sz w:val="20"/>
              </w:rPr>
              <w:t>"зеленые" кредиты</w:t>
            </w:r>
          </w:p>
        </w:tc>
      </w:tr>
    </w:tbl>
    <w:bookmarkStart w:name="z24" w:id="14"/>
    <w:p>
      <w:pPr>
        <w:spacing w:after="0"/>
        <w:ind w:left="0"/>
        <w:jc w:val="left"/>
      </w:pPr>
      <w:r>
        <w:rPr>
          <w:rFonts w:ascii="Times New Roman"/>
          <w:b/>
          <w:i w:val="false"/>
          <w:color w:val="000000"/>
        </w:rPr>
        <w:t xml:space="preserve"> Система классификации категорий "зеленых" проектов, подлежащих финансированию через "зеленые" облигации и "зеленые" кредиты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1: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2: Сектор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3: Подсектор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ОКЭД*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Возобновляемая энергия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Ветряная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Энергетические объекты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35.11.4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ветрогенераторы, ветронасосы, ветряные турбины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ограничений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Солнечная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Объекты производства электроэнергии (PV &amp; CSP)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централизованные и децентрализованные солнечные электростанции, в том числе концентрированные солнечные электростанции (CSP), солнечная фотоэлектрическая (PV) энергия, децентрализованная солнечная фотоэлектрическая станция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ограничений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Небольшие распределенные солнечные системы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небольшие портативные солнечные домашние системы, мини-сети и другие типы автономных систем для питания небольших домохозяйств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ограничений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Солнечные тепловые установки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35.11.5, 35.30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применения и производства солнечной тепловой энергии, в том числе солнечного нагрева воды и других тепловых применений солнечной энергии во всех секторах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ограничений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Геотермальная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Объекты производства электроэнергии и тепла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28.92.1, 35.11.9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производства электроэнергии и теплового применения геотермальной энергии во всех секторах; геотермальные тепловые насосы для отопления помещений и централизованного теплоснабжения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случаях использования электрических тепловых насосов – потенциал глобального потепления хладагента не превышает значения 700, в остальных случаях – без ограничений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Гидро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Малые гидроэлектростанции (до 10 МВт)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гидроэлектростанции с установками, расположенными в одном гидроузле, суммарной мощностью до десяти мегаватт (включительно)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ограничений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Средние гидроэлектростанции (до100 МВт)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гидроэлектростанции с общей установленной мощностью от 10 до 100 мегаватт (МВт), гидроэлектростанция с насосом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удельная мощность (отношение номинальной мощности объекта к площади поверхности водохранилища)&gt;10 Bт/м2 либо выбросы CO2 в течение жизненного цикла не выше 100 g CO2 e/кВт ч. Также требуется заключение экологической экспертизы о допустимости реализации проекта либо заключение скрининга воздействий намечаемой деятельности об отсутствии необходимости проведения обязательной оценки воздействия на окружающую среду (ОВОС), либо заключение ОВОС о допустимости реализации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Другие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Другие объекты по производству теплоэнергии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35.11.9, 35.30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тепловые насосы, использующие градиенты температуры почвы, воды и воздуха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случаях использования электрических тепловых насосов – потенциал глобального потепления хладагента не превышает значения 700, в остальных случаях – без ограничений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Биоэнергия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Объекты биоэнергетических продуктов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38.21.0, 72.11.0, 35.30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для производства биотоплива, биомассы, биогаза и других биоэнергетических продуктов, включая установки для подготовки топлива, установки для предварительной обработки и установки для биопереработки, установки для производства газообразного, жидкого и твердого (лесного) биотоплива (включая установки для анаэробного сбраживания). Оборудование для переработки осадков после очистки сточных вод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5"/>
          <w:p>
            <w:pPr>
              <w:spacing w:after="20"/>
              <w:ind w:left="20"/>
              <w:jc w:val="both"/>
            </w:pPr>
            <w:r>
              <w:rPr>
                <w:rFonts w:ascii="Times New Roman"/>
                <w:b w:val="false"/>
                <w:i w:val="false"/>
                <w:color w:val="000000"/>
                <w:sz w:val="20"/>
              </w:rPr>
              <w:t>
1) выбросы парниковых газов в течение жизненного цикла на 70 % ниже базового уровня угля (т.е. выбросов угольной электрогенерации или уровня международно признанного компаратора (сравнительного бенчмарка) ископаемого топлива);</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2) биомасса должна быть получена из сырья, образованного экологически устойчивыми методами (древесина может быть представлена только отходами древесины; исключается сырье, полученное за счет земель с высоким уровнем биоразнообразия и (или) высоким запасом углерода, имеется оценка воздействия на качество почвы и запасы углерода, высокая (свыше 50 %) минимальная доля отходов и др.);</w:t>
            </w:r>
          </w:p>
          <w:p>
            <w:pPr>
              <w:spacing w:after="20"/>
              <w:ind w:left="20"/>
              <w:jc w:val="both"/>
            </w:pPr>
            <w:r>
              <w:rPr>
                <w:rFonts w:ascii="Times New Roman"/>
                <w:b w:val="false"/>
                <w:i w:val="false"/>
                <w:color w:val="000000"/>
                <w:sz w:val="20"/>
              </w:rPr>
              <w:t>
3) для крупных установок – соответствие требованиям справочника НДТ (BREF**) для крупных топливосжигающих установок, применительно к сжиганию твердой биомассы и (или) торфа в части управления отходами, использования материалов, выполнения порогов по выбросам SO2, NOx и CO</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Производство тепла и электроэнергии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38.21.0, 35.30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производства тепла и электричества; системы отопления; электростанции на биомассе, биогазе; теплоэлектроцентрали на биомассе; улучшенные печи для биомассы; использование сельскохозяйственных и лесных отходов, а также отходов сельскохозяйственных культур для электрификации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6"/>
          <w:p>
            <w:pPr>
              <w:spacing w:after="20"/>
              <w:ind w:left="20"/>
              <w:jc w:val="both"/>
            </w:pPr>
            <w:r>
              <w:rPr>
                <w:rFonts w:ascii="Times New Roman"/>
                <w:b w:val="false"/>
                <w:i w:val="false"/>
                <w:color w:val="000000"/>
                <w:sz w:val="20"/>
              </w:rPr>
              <w:t>
1) выбросы парниковых газов в течение жизненного цикла на 70 % ниже базового уровня угля (т.е. выбросов угольной электрогенерации или уровня международно признанного компаратора (сравнительного бенчмарка) ископаемого топлива);</w:t>
            </w:r>
          </w:p>
          <w:bookmarkEnd w:id="16"/>
          <w:p>
            <w:pPr>
              <w:spacing w:after="20"/>
              <w:ind w:left="20"/>
              <w:jc w:val="both"/>
            </w:pPr>
            <w:r>
              <w:rPr>
                <w:rFonts w:ascii="Times New Roman"/>
                <w:b w:val="false"/>
                <w:i w:val="false"/>
                <w:color w:val="000000"/>
                <w:sz w:val="20"/>
              </w:rPr>
              <w:t>
</w:t>
            </w:r>
            <w:r>
              <w:rPr>
                <w:rFonts w:ascii="Times New Roman"/>
                <w:b w:val="false"/>
                <w:i w:val="false"/>
                <w:color w:val="000000"/>
                <w:sz w:val="20"/>
              </w:rPr>
              <w:t>2) биомасса должна быть получена из сырья, образованного экологически устойчивыми методами (древесина может быть представлена только отходами древесины; исключается сырье, полученное за счет земель с высоким уровнем биоразнообразия и (или) высоким запасом углерода, имеется оценка воздействия на качество почвы и запасы углерода, высокая (свыше 50 %) минимальная доля отходов и др.);</w:t>
            </w:r>
          </w:p>
          <w:p>
            <w:pPr>
              <w:spacing w:after="20"/>
              <w:ind w:left="20"/>
              <w:jc w:val="both"/>
            </w:pPr>
            <w:r>
              <w:rPr>
                <w:rFonts w:ascii="Times New Roman"/>
                <w:b w:val="false"/>
                <w:i w:val="false"/>
                <w:color w:val="000000"/>
                <w:sz w:val="20"/>
              </w:rPr>
              <w:t>
3) для крупных установок – соответствие требованиям справочника НДТ (BREF**) для крупных топливосжигающих установок, применительно к сжиганию твердой биомассы и (или) торфа в части управления отходами, использования материалов, выполнения порогов по выбросам SO2, NOx и CO</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Цепочка поставок и вспомогательная инфраструктура для возобновляемых источников энергии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Производство оборудования для возобновляемых источников энергии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28.11.2, 28.12.0, 28.13.1, 28.13.2, 28.14.0, 25, 27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7"/>
          <w:p>
            <w:pPr>
              <w:spacing w:after="20"/>
              <w:ind w:left="20"/>
              <w:jc w:val="both"/>
            </w:pPr>
            <w:r>
              <w:rPr>
                <w:rFonts w:ascii="Times New Roman"/>
                <w:b w:val="false"/>
                <w:i w:val="false"/>
                <w:color w:val="000000"/>
                <w:sz w:val="20"/>
              </w:rPr>
              <w:t>
заводы по производству или сборке ветряных, гидро- и геотермальных турбин, фотоэлектрических элементов и компонентов, солнечных коллекторов (т.н. тарелок или блюд), желобов и компонентов, геотермальных насосов.</w:t>
            </w:r>
          </w:p>
          <w:bookmarkEnd w:id="17"/>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продуктов, ключевых компонентов, оборудования и автоматизированной техники для следующего применения возобновляемой энергии: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геотермальная энергия;</w:t>
            </w:r>
          </w:p>
          <w:p>
            <w:pPr>
              <w:spacing w:after="20"/>
              <w:ind w:left="20"/>
              <w:jc w:val="both"/>
            </w:pPr>
            <w:r>
              <w:rPr>
                <w:rFonts w:ascii="Times New Roman"/>
                <w:b w:val="false"/>
                <w:i w:val="false"/>
                <w:color w:val="000000"/>
                <w:sz w:val="20"/>
              </w:rPr>
              <w:t>
гидроэнергия солнечная, концентрированная энергия (CSP), солнечная фотоэлектрическая энергия (PV) , энергия ветра, "зелҰный" водород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ограничений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Линии электропередачи и поддерживающая инфраструктура для систем возобновляемой энергии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26.11.0, 27.11.0, 27.12.0, 27.20.0, 33.14.1, 35.13.0, 42.22.0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расширенные и улучшенные системы передачи (линии, подстанции), системы хранения (аккумуляторные, механические, гидроаккумулирующие) и новые информационные и коммуникационные технологии (интеллектуальная сеть и мини-сеть) для масштабирования использования возобновляемых источников энергии; выделенные линии электропередачи; крупные и мелкие хранилища; интеллектуальные электросети; счетчики и датчики тепла и электричества; инверторы/контроллеры; трансформаторы; регуляторы напряжения; распределительные устройства; пути для транспортировки экологически чистых технологий; системы хранения "зелҰного" водорода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ограничений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Системы хранения возобновляемой энергии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27.20.0, 27.90.9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конденсаторы, хранилище сжатого воздуха и маховики; крупномасштабное хранение энергии, а также производственные мощности, предназначенные для вышеперечисленного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ограничений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Производство водорода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Производство "зелҰного" водорода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20.11.0, 25, 27, 28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по производству водорода с использованием возобновляемой энергии ("зелҰный" водород)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минимальные прямые выбросы эквивалента CO2 при производстве водорода в течение жизненного цикла составляют 3 тонны CO2 е/тонну водорода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Энергоэффективность</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Повышение энергоэффективности на существующих и строящихся промышленных объектах и в агропромышленном секторе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Энергоэффективное оборудование и совершенствование технологий, включая изменение технологических процессов, снижающее выбросы парниковых газов и (или) обеспечивающее оптимизацию потребления ТЭР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 22, 23, 25, 27, 28, 33, 35, 43.22.0, 46.61-46.64, 46.66, 46.69, 71, 77.39, 95.21, 95.22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8"/>
          <w:p>
            <w:pPr>
              <w:spacing w:after="20"/>
              <w:ind w:left="20"/>
              <w:jc w:val="both"/>
            </w:pPr>
            <w:r>
              <w:rPr>
                <w:rFonts w:ascii="Times New Roman"/>
                <w:b w:val="false"/>
                <w:i w:val="false"/>
                <w:color w:val="000000"/>
                <w:sz w:val="20"/>
              </w:rPr>
              <w:t>
повышение энергоэффективности в промышленности за счет установки более эффективного оборудования, изменений в процессах и управлении, снижения тепловых потерь и (или) использования остаточного тепла и давления; установка машин, оборудования, приборов, снижающих выбросы парниковых газов и (или) обеспечивающих оптимизацию потребления ТЭР;</w:t>
            </w:r>
          </w:p>
          <w:bookmarkEnd w:id="18"/>
          <w:p>
            <w:pPr>
              <w:spacing w:after="20"/>
              <w:ind w:left="20"/>
              <w:jc w:val="both"/>
            </w:pPr>
            <w:r>
              <w:rPr>
                <w:rFonts w:ascii="Times New Roman"/>
                <w:b w:val="false"/>
                <w:i w:val="false"/>
                <w:color w:val="000000"/>
                <w:sz w:val="20"/>
              </w:rPr>
              <w:t>
</w:t>
            </w:r>
            <w:r>
              <w:rPr>
                <w:rFonts w:ascii="Times New Roman"/>
                <w:b w:val="false"/>
                <w:i w:val="false"/>
                <w:color w:val="000000"/>
                <w:sz w:val="20"/>
              </w:rPr>
              <w:t>меры по повышению энергоэффективности, основанные на заключении энергетического аудита;</w:t>
            </w:r>
          </w:p>
          <w:p>
            <w:pPr>
              <w:spacing w:after="20"/>
              <w:ind w:left="20"/>
              <w:jc w:val="both"/>
            </w:pPr>
            <w:r>
              <w:rPr>
                <w:rFonts w:ascii="Times New Roman"/>
                <w:b w:val="false"/>
                <w:i w:val="false"/>
                <w:color w:val="000000"/>
                <w:sz w:val="20"/>
              </w:rPr>
              <w:t>
</w:t>
            </w:r>
            <w:r>
              <w:rPr>
                <w:rFonts w:ascii="Times New Roman"/>
                <w:b w:val="false"/>
                <w:i w:val="false"/>
                <w:color w:val="000000"/>
                <w:sz w:val="20"/>
              </w:rPr>
              <w:t>энергоэффективные двигатели, частотно-регулируемые приводы (VFD drives) для компрессоров, насосов и систем вентиляции. Котлы с высокой энергоэффективностью.</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Технология утилизации отходящего тепла и газов технологических процессов (котлы-утилизаторы и др.) в промышленности и коммунальных системах.</w:t>
            </w:r>
          </w:p>
          <w:p>
            <w:pPr>
              <w:spacing w:after="20"/>
              <w:ind w:left="20"/>
              <w:jc w:val="both"/>
            </w:pPr>
            <w:r>
              <w:rPr>
                <w:rFonts w:ascii="Times New Roman"/>
                <w:b w:val="false"/>
                <w:i w:val="false"/>
                <w:color w:val="000000"/>
                <w:sz w:val="20"/>
              </w:rPr>
              <w:t>
Установка энергоэффективных машин и оборудования в сельскохозяйственном секторе. Список возможного подходящего оборудования можно также найти на онлайн-платформе "Селектора зеленых технологий" в рамках механизма финансирования "зеленой" экономики ЕБРР (GEFF) https://​tec​hsel​ecto​r.​com/​kaz​akhs​tan-​en/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снижение энергопотребления на 10 % и (или) минимальное снижение выбросов парниковых газов и (или) обеспечивающее оптимизацию потребления ТЭР на 20 % по сравнению с базовым уровнем (до реализации проекта) исключаются установки, использующие уголь в качестве топлива. Применительно к утилизации отходящего тепла и газов технологических процессов насосы и оборудование (котлы-утилизаторы и т.п.) имеют наивысший класс энергоэффективности, а также соответствуют НДТ, при этом исключается утилизация газов и тепла от генерации на основе угля, а в случае генерации на природном газе должны также соблюдаться критерии, установленные в категории 8 по подсектору 8.1.1 "Производство электроэнергии и тепла из газообразного ископаемого топлива, замена топлива"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Установка оборудования теплоэлектроцентрали /когенерационные или тригенерационные установки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35.11.1, 35.30.5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эксплуатация когенерационных и комбинированного цикла установок, вырабатывающих электричество в дополнение к отоплению; теплоэлектроцентрали; электростанции комбинированного цикла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снижение энергопотребления на 10 % и (или) минимальное снижение выбросов парниковых газов на 20 % по сравнению с базовым уровнем (до реализации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Энергоэффективность в системах производства, передачи и распределения энергии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27.11.0, 35.12, 42.22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линий электропередачи или строительство новых подстанций и (или) распределительных систем для снижения энергопотребления и (или) технических потерь, включая повышение стабильности/надежности сети; умные сети; высоковольтные сети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снижение потерь электроэнергии на 10 % по сравнению с базовым уровнем (до реализации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Центральное отопление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25.21.0, 33.11.2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систем централизованного теплоснабжения с использованием станций малой (распределенной) генерации или других технологий. Станция малой (распределенной) генерации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снижение энергопотребления на 20 % по сравнению с базовым уровнем (до реализации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Повышение энергоэффективности в бюджетном и коммунальном секторах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Энергосберегающее освещение или оборудование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43.21.9,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энергоэффективности в коммунальных и государственных услугах за счет установки более эффективного освещения или оборудования; система светодиодного уличного освещения, улучшение освещения коммерческих, торговых, оптовых, офисных зданий и других непромышленных объектов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энергозатрат на 20 %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Энергоэффективные продукты (конечный пользователь)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9"/>
          <w:p>
            <w:pPr>
              <w:spacing w:after="20"/>
              <w:ind w:left="20"/>
              <w:jc w:val="both"/>
            </w:pPr>
            <w:r>
              <w:rPr>
                <w:rFonts w:ascii="Times New Roman"/>
                <w:b w:val="false"/>
                <w:i w:val="false"/>
                <w:color w:val="000000"/>
                <w:sz w:val="20"/>
              </w:rPr>
              <w:t>
25.21, 25.29, 27.51, 27.90, 28.13, 28.14, 33.20, 46.43, 46.61, 46.62, 46.63, 46.64, 46.69, 47.54, 77.31, 77.32, 77.33, 77.34, 77.35, 77.39</w:t>
            </w:r>
          </w:p>
          <w:bookmarkEnd w:id="19"/>
          <w:p>
            <w:pPr>
              <w:spacing w:after="20"/>
              <w:ind w:left="20"/>
              <w:jc w:val="both"/>
            </w:pPr>
            <w:r>
              <w:rPr>
                <w:rFonts w:ascii="Times New Roman"/>
                <w:b w:val="false"/>
                <w:i w:val="false"/>
                <w:color w:val="000000"/>
                <w:sz w:val="20"/>
              </w:rPr>
              <w:t>
(для производителей), любой код ОКЭД (для покупателей юр.лиц), для физ. лиц (коды ОКЭД неприменимы)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либо покупка и применение более энергоэффективных продуктов, включая энергоэффективные машины и оборудование; энергосберегающие холодильники, кондиционеры, стиральные машины, обогреватели и прочие электрические энергопотребляющие устройства (в соответствии с повышенным классом маркировки продукции). Список возможного подходящего оборудования можно найти на онлайн-платформе "Селектора зеленых технологий" в рамках механизма финансирования "зеленой" экономики ЕБРР (GEFF) https://​tec​hsel​ecto​r.​com/​kaz​akhs​tan-​en/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наивысший класс энергоэффективности для типа продукта, в том числе в соответствии с энергетической маркировкой в соответствии с национальными или межгосударственными стандартами, а также международной рейтинговой оценкой энергоэффективности потребительских товаров Energy Star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Услуги по энергосбережению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33.12, 33.14, 33.15, 33.16, 33.17, 33.19, 33.20, 35.12, 35.13, 35.30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энергосбережению для конечных потребителей энергии, в том числе промышленных объектов, зданий и транспортных систем, включая энергоаудит, оказание энергосервисных услуг, управление энергопотреблением (энергоменеджмент) по контракту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СТ РК ISO 50001 "Системы энергетического менеджмента. Требования и руководство по использованию" или международно признанными аналогичными стандартами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Энергоэффективные здания, строения и сооружения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Энергоэффективное строительство зданий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16.23, 23.11, 23.20, 23.31, 23.32, 23.43, 23.61, 25.11, 25.12, 25.21, 25.29, 25.93, 27.31, 27.32, 27.33, 27.40, 27.51, 28.11, 28.12, 28.13, 28.14, 33.20.0, 41.10.0, 41.20.1, 41.20.2, 41.20.3, 41.20.4, 43.22, 43.29.8, 43.32, 46.43, 46.74, 47.54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использование энергоэффективных архитектурных проектов, приборов и оборудования, а также строительных технологий, снижающих потребление энергии в зданиях</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следующих рейтинговых оценок в области "зеленого" строительства: LEED, EDGE, BREEAM, DGNB, OMIR и (или) маркировки энергоэффективности (высокого класса энергоэффективности)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Повышение эффективности в существующих коммерческих, общественных, жилых и промышленных зданиях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16.23, 23.11, 23.20, 23.31, 23.32, 23.43, 23.61, 25.11, 25.12, 25.21, 25.29, 25.93, 27.31, 27.32, 27.33, 27.40, 27.51, 28.11, 28.12, 28.13, 28.14, 33.20.0, 36.00.0, 37.00, 41.10.0, 41.20.1, 41.20.2, 41.20.3, 41.20, 42.21, 42.91, 42.99, 43.22, 43.29.8, 43.32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0"/>
          <w:p>
            <w:pPr>
              <w:spacing w:after="20"/>
              <w:ind w:left="20"/>
              <w:jc w:val="both"/>
            </w:pPr>
            <w:r>
              <w:rPr>
                <w:rFonts w:ascii="Times New Roman"/>
                <w:b w:val="false"/>
                <w:i w:val="false"/>
                <w:color w:val="000000"/>
                <w:sz w:val="20"/>
              </w:rPr>
              <w:t>
энергетика: освещение, приборы и оборудование, системы отопления/охлаждения, архитектурные изменения или изменения в строительстве, позволяющие снизить потребление энергии;</w:t>
            </w:r>
          </w:p>
          <w:bookmarkEnd w:id="20"/>
          <w:p>
            <w:pPr>
              <w:spacing w:after="20"/>
              <w:ind w:left="20"/>
              <w:jc w:val="both"/>
            </w:pPr>
            <w:r>
              <w:rPr>
                <w:rFonts w:ascii="Times New Roman"/>
                <w:b w:val="false"/>
                <w:i w:val="false"/>
                <w:color w:val="000000"/>
                <w:sz w:val="20"/>
              </w:rPr>
              <w:t>
вода: водопроводная арматура, системы рециркуляции/сбора дождевой воды, изменения в строительстве зданий, которые позволяют снизить потребление воды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"Зеленые" 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"Зеленые" 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Строительство новых "зеленых" зданий (коммерческих, общественных, промышленных и жилых)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16.23, 23.11, 23.20, 23.31, 23.32, 23.43, 23.61, 25.11, 25.12, 25.21, 25.29, 25.93, 27.31, 27.32, 27.33, 27.40, 27.51, 28.11, 28.12, 28.13, 28.14, 33.20.0, 36.00.0, 41.10.0, 41.20, 42.21, 42.91, 42.99, 43.22, 43.29.8, 43.31, 43.32, 43.34, 43.39, 43.91, 43.99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1"/>
          <w:p>
            <w:pPr>
              <w:spacing w:after="20"/>
              <w:ind w:left="20"/>
              <w:jc w:val="both"/>
            </w:pPr>
            <w:r>
              <w:rPr>
                <w:rFonts w:ascii="Times New Roman"/>
                <w:b w:val="false"/>
                <w:i w:val="false"/>
                <w:color w:val="000000"/>
                <w:sz w:val="20"/>
              </w:rPr>
              <w:t>
энергетика: использование высокоэффективных архитектурных проектов, энергоэффективных приборов и оборудования, а также методов строительства, которые снижают энергопотребление здания, превышая имеющиеся стандарты и соответствуя сертификатам или рейтингам высокой энергоэффективности;</w:t>
            </w:r>
          </w:p>
          <w:bookmarkEnd w:id="21"/>
          <w:p>
            <w:pPr>
              <w:spacing w:after="20"/>
              <w:ind w:left="20"/>
              <w:jc w:val="both"/>
            </w:pPr>
            <w:r>
              <w:rPr>
                <w:rFonts w:ascii="Times New Roman"/>
                <w:b w:val="false"/>
                <w:i w:val="false"/>
                <w:color w:val="000000"/>
                <w:sz w:val="20"/>
              </w:rPr>
              <w:t>
</w:t>
            </w:r>
            <w:r>
              <w:rPr>
                <w:rFonts w:ascii="Times New Roman"/>
                <w:b w:val="false"/>
                <w:i w:val="false"/>
                <w:color w:val="000000"/>
                <w:sz w:val="20"/>
              </w:rPr>
              <w:t>вода: использование водосберегающих приспособлений и оборудования, а также методов строительства, которые снижают потребление воды в зданиях, превышая имеющиеся стандарты и соответствуя сертификатам или рейтингам водосбережения;</w:t>
            </w:r>
          </w:p>
          <w:p>
            <w:pPr>
              <w:spacing w:after="20"/>
              <w:ind w:left="20"/>
              <w:jc w:val="both"/>
            </w:pPr>
            <w:r>
              <w:rPr>
                <w:rFonts w:ascii="Times New Roman"/>
                <w:b w:val="false"/>
                <w:i w:val="false"/>
                <w:color w:val="000000"/>
                <w:sz w:val="20"/>
              </w:rPr>
              <w:t>
материалы: использование строительного материала, который минимизирует количество компонентов, требующих большого количества энергии для производства стали или цемента, или компонентов, использующих повторно используемые/переработанные материалы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следующих рейтинговых оценок в области "зеленого" строительства: LEED, EDGE, BREEAM, DGNB, OMIR знаков энергетического рейтинга, таких как US Energy Star, и соответствия схеме энергетической маркировки, такой как Energy Performance Certifications, используемой в Европейском союзе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Сопутствующие системы и строительные материалы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Производство и применение систем, "зеленых" строительных материалов и продуктов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23.14.0, 23.31.0, 23.32.0, 23.65.0, 23.99.2, 23.99.3, 26.51, 27.11, 27.12, 27.31, 27.32, 27.33, 27.40, 27.51, 27.90, 28.11, 28.12, 28.13, 28.14, 33.20.0, 36.00, 37.00, 41.10.0, 41.20.1, 41.20.2, 41.20.3, 41.20.4, 42.21, 42.91, 42.99, 43.22, 43.29, 43.31, 43.32.0, 43.34, 43.39, 43.91, 43.99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эффективные и низкоуглеродные строительные системы (освещение, отопление, кондиционирование воздуха, лифты, эскалаторы, счетчики, наземные тепловые насосы и т. д.) и материалы с низким энергопотреблением или низким углеродным следом; изоляционные материалы из органической ваты, материалы, произведенные из вторичного сырья и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2"/>
          <w:p>
            <w:pPr>
              <w:spacing w:after="20"/>
              <w:ind w:left="20"/>
              <w:jc w:val="both"/>
            </w:pPr>
            <w:r>
              <w:rPr>
                <w:rFonts w:ascii="Times New Roman"/>
                <w:b w:val="false"/>
                <w:i w:val="false"/>
                <w:color w:val="000000"/>
                <w:sz w:val="20"/>
              </w:rPr>
              <w:t>
наличие (опционно):</w:t>
            </w:r>
          </w:p>
          <w:bookmarkEnd w:id="22"/>
          <w:p>
            <w:pPr>
              <w:spacing w:after="20"/>
              <w:ind w:left="20"/>
              <w:jc w:val="both"/>
            </w:pPr>
            <w:r>
              <w:rPr>
                <w:rFonts w:ascii="Times New Roman"/>
                <w:b w:val="false"/>
                <w:i w:val="false"/>
                <w:color w:val="000000"/>
                <w:sz w:val="20"/>
              </w:rPr>
              <w:t>
</w:t>
            </w:r>
            <w:r>
              <w:rPr>
                <w:rFonts w:ascii="Times New Roman"/>
                <w:b w:val="false"/>
                <w:i w:val="false"/>
                <w:color w:val="000000"/>
                <w:sz w:val="20"/>
              </w:rPr>
              <w:t>1) рейтинговых оценок в области "зеленого" строительства: LEED, EDGE, BREEAM, DGNB, OMIR;</w:t>
            </w:r>
          </w:p>
          <w:p>
            <w:pPr>
              <w:spacing w:after="20"/>
              <w:ind w:left="20"/>
              <w:jc w:val="both"/>
            </w:pPr>
            <w:r>
              <w:rPr>
                <w:rFonts w:ascii="Times New Roman"/>
                <w:b w:val="false"/>
                <w:i w:val="false"/>
                <w:color w:val="000000"/>
                <w:sz w:val="20"/>
              </w:rPr>
              <w:t>
</w:t>
            </w:r>
            <w:r>
              <w:rPr>
                <w:rFonts w:ascii="Times New Roman"/>
                <w:b w:val="false"/>
                <w:i w:val="false"/>
                <w:color w:val="000000"/>
                <w:sz w:val="20"/>
              </w:rPr>
              <w:t>2) маркировки энергоэффективности (высокого класса энергоэффективности);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знаков энергетического рейтинга, таких как US Energy Star, или соответствия схеме энергетической маркировки, такой как Energy Performance Certifications, используемой в Европейском союзе, или сертификации по серии стандартов ИСО в области энергоэффективности зданий (ISO 52003, 52010, 52016, 52018)</w:t>
            </w:r>
          </w:p>
          <w:p>
            <w:pPr>
              <w:spacing w:after="20"/>
              <w:ind w:left="20"/>
              <w:jc w:val="both"/>
            </w:pPr>
            <w:r>
              <w:rPr>
                <w:rFonts w:ascii="Times New Roman"/>
                <w:b w:val="false"/>
                <w:i w:val="false"/>
                <w:color w:val="000000"/>
                <w:sz w:val="20"/>
              </w:rPr>
              <w:t>
4) сертификации по схемам сертификации отдельных строительных материалов (цемента, бетона, керамики, стали и т.п.), таких как Concrete Sustainability Council (CSC) Certification, либо наличие верифицированной экологической декларации продукции (EPD), подготовленной в соответствии со стандартом ИСО 14025, в котором демонстрируется более низкий уровень негативного экологического следа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"Зеленая" инфраструктура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"Зеленая" инфраструктура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42.11.1, 42.99, 43.21, 52.21, 81.30.0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3"/>
          <w:p>
            <w:pPr>
              <w:spacing w:after="20"/>
              <w:ind w:left="20"/>
              <w:jc w:val="both"/>
            </w:pPr>
            <w:r>
              <w:rPr>
                <w:rFonts w:ascii="Times New Roman"/>
                <w:b w:val="false"/>
                <w:i w:val="false"/>
                <w:color w:val="000000"/>
                <w:sz w:val="20"/>
              </w:rPr>
              <w:t>
многоцелевые "зеленые" зоны (задержка воды, затенение, отдых, коридоры биоразнообразия, мягкая подкладка для пешеходных и велосипедных дорожек);</w:t>
            </w:r>
          </w:p>
          <w:bookmarkEnd w:id="23"/>
          <w:p>
            <w:pPr>
              <w:spacing w:after="20"/>
              <w:ind w:left="20"/>
              <w:jc w:val="both"/>
            </w:pPr>
            <w:r>
              <w:rPr>
                <w:rFonts w:ascii="Times New Roman"/>
                <w:b w:val="false"/>
                <w:i w:val="false"/>
                <w:color w:val="000000"/>
                <w:sz w:val="20"/>
              </w:rPr>
              <w:t>
</w:t>
            </w:r>
            <w:r>
              <w:rPr>
                <w:rFonts w:ascii="Times New Roman"/>
                <w:b w:val="false"/>
                <w:i w:val="false"/>
                <w:color w:val="000000"/>
                <w:sz w:val="20"/>
              </w:rPr>
              <w:t>защита от наводнений (ограждения от перенапряжений, насосные станции, дамбы, ворота);</w:t>
            </w:r>
          </w:p>
          <w:p>
            <w:pPr>
              <w:spacing w:after="20"/>
              <w:ind w:left="20"/>
              <w:jc w:val="both"/>
            </w:pPr>
            <w:r>
              <w:rPr>
                <w:rFonts w:ascii="Times New Roman"/>
                <w:b w:val="false"/>
                <w:i w:val="false"/>
                <w:color w:val="000000"/>
                <w:sz w:val="20"/>
              </w:rPr>
              <w:t>
сооружения для сбора талой и дождевой воды; уличное освещение; благоустройство участков по сбору и сортировке отходов при зданиях.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следующих рейтинговых оценок в области "зеленого" строительства: LEED, BREEAM, DGNB, OMIR и(или) маркировки энергоэффективности (высокого класса энергоэффективности)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Строительство и модернизация частных жилых домов и прилегающих территорий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35.11.5, 35.22.0, 36.00.0, 37.00, 38.11.0, 38.21.0, 38.32.3, 41.20.1, 43.21.1, 43.21.9, 43.22.0, 43.29.1, 43.29.8, 43.31.0, 43.32.0, 43.33.0 43.34.0, 43.91.0, 43.99.9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4"/>
          <w:p>
            <w:pPr>
              <w:spacing w:after="20"/>
              <w:ind w:left="20"/>
              <w:jc w:val="both"/>
            </w:pPr>
            <w:r>
              <w:rPr>
                <w:rFonts w:ascii="Times New Roman"/>
                <w:b w:val="false"/>
                <w:i w:val="false"/>
                <w:color w:val="000000"/>
                <w:sz w:val="20"/>
              </w:rPr>
              <w:t>
строительство новых энергоэффективных и "зеленых" домов;</w:t>
            </w:r>
          </w:p>
          <w:bookmarkEnd w:id="24"/>
          <w:p>
            <w:pPr>
              <w:spacing w:after="20"/>
              <w:ind w:left="20"/>
              <w:jc w:val="both"/>
            </w:pPr>
            <w:r>
              <w:rPr>
                <w:rFonts w:ascii="Times New Roman"/>
                <w:b w:val="false"/>
                <w:i w:val="false"/>
                <w:color w:val="000000"/>
                <w:sz w:val="20"/>
              </w:rPr>
              <w:t>
</w:t>
            </w:r>
            <w:r>
              <w:rPr>
                <w:rFonts w:ascii="Times New Roman"/>
                <w:b w:val="false"/>
                <w:i w:val="false"/>
                <w:color w:val="000000"/>
                <w:sz w:val="20"/>
              </w:rPr>
              <w:t>модернизация существующих домов;</w:t>
            </w:r>
          </w:p>
          <w:p>
            <w:pPr>
              <w:spacing w:after="20"/>
              <w:ind w:left="20"/>
              <w:jc w:val="both"/>
            </w:pPr>
            <w:r>
              <w:rPr>
                <w:rFonts w:ascii="Times New Roman"/>
                <w:b w:val="false"/>
                <w:i w:val="false"/>
                <w:color w:val="000000"/>
                <w:sz w:val="20"/>
              </w:rPr>
              <w:t>
</w:t>
            </w:r>
            <w:r>
              <w:rPr>
                <w:rFonts w:ascii="Times New Roman"/>
                <w:b w:val="false"/>
                <w:i w:val="false"/>
                <w:color w:val="000000"/>
                <w:sz w:val="20"/>
              </w:rPr>
              <w:t>улучшение санитарных условий (септик, утилизация отходов);</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подведение электричества;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применение альтернативных видов топлива;</w:t>
            </w:r>
          </w:p>
          <w:p>
            <w:pPr>
              <w:spacing w:after="20"/>
              <w:ind w:left="20"/>
              <w:jc w:val="both"/>
            </w:pPr>
            <w:r>
              <w:rPr>
                <w:rFonts w:ascii="Times New Roman"/>
                <w:b w:val="false"/>
                <w:i w:val="false"/>
                <w:color w:val="000000"/>
                <w:sz w:val="20"/>
              </w:rPr>
              <w:t>
</w:t>
            </w:r>
            <w:r>
              <w:rPr>
                <w:rFonts w:ascii="Times New Roman"/>
                <w:b w:val="false"/>
                <w:i w:val="false"/>
                <w:color w:val="000000"/>
                <w:sz w:val="20"/>
              </w:rPr>
              <w:t>использование тепловых насосов или подключение к центральному отоплению;</w:t>
            </w:r>
          </w:p>
          <w:p>
            <w:pPr>
              <w:spacing w:after="20"/>
              <w:ind w:left="20"/>
              <w:jc w:val="both"/>
            </w:pPr>
            <w:r>
              <w:rPr>
                <w:rFonts w:ascii="Times New Roman"/>
                <w:b w:val="false"/>
                <w:i w:val="false"/>
                <w:color w:val="000000"/>
                <w:sz w:val="20"/>
              </w:rPr>
              <w:t>
</w:t>
            </w:r>
            <w:r>
              <w:rPr>
                <w:rFonts w:ascii="Times New Roman"/>
                <w:b w:val="false"/>
                <w:i w:val="false"/>
                <w:color w:val="000000"/>
                <w:sz w:val="20"/>
              </w:rPr>
              <w:t>хранение энергии, сбор дождевой воды;</w:t>
            </w:r>
          </w:p>
          <w:p>
            <w:pPr>
              <w:spacing w:after="20"/>
              <w:ind w:left="20"/>
              <w:jc w:val="both"/>
            </w:pPr>
            <w:r>
              <w:rPr>
                <w:rFonts w:ascii="Times New Roman"/>
                <w:b w:val="false"/>
                <w:i w:val="false"/>
                <w:color w:val="000000"/>
                <w:sz w:val="20"/>
              </w:rPr>
              <w:t>
переработка серой и черной воды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 потребления воды не ниже 15 %; применение ВИЭ3; минимальное снижение потребления энергии не ниже 15 %; маркировка энергоэффективности (высокого класса энергоэффективности) (если применимо); или наличие следующих рейтинговых оценок в области "зеленого" строительства: LEED, EDGE, BREEAM, DGNB, OMIR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Автономные и экосанитарные туалеты для частных домов, туристических лагерей и малого бизнеса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37.00, 39.00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5"/>
          <w:p>
            <w:pPr>
              <w:spacing w:after="20"/>
              <w:ind w:left="20"/>
              <w:jc w:val="both"/>
            </w:pPr>
            <w:r>
              <w:rPr>
                <w:rFonts w:ascii="Times New Roman"/>
                <w:b w:val="false"/>
                <w:i w:val="false"/>
                <w:color w:val="000000"/>
                <w:sz w:val="20"/>
              </w:rPr>
              <w:t>
установка автономных и экосанитарных туалетов, которые способствуют снижению загрязнения почвы;</w:t>
            </w:r>
          </w:p>
          <w:bookmarkEnd w:id="25"/>
          <w:p>
            <w:pPr>
              <w:spacing w:after="20"/>
              <w:ind w:left="20"/>
              <w:jc w:val="both"/>
            </w:pPr>
            <w:r>
              <w:rPr>
                <w:rFonts w:ascii="Times New Roman"/>
                <w:b w:val="false"/>
                <w:i w:val="false"/>
                <w:color w:val="000000"/>
                <w:sz w:val="20"/>
              </w:rPr>
              <w:t>
биотуалеты, контейнерные туалеты, сухие туалеты, септические системы, мочеотводящий сухой туалет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утилизация отходов без нанесения ущерба экосистемам, повторное использование воды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Предотвращение и контроль загрязнения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Качество воздуха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Очистка воздуха от промышленных загрязнений и загрязнения городского атмосферного воздуха, оборудование для рециркуляции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28.11.2, 28.13.1, 28.13, 28.25, 33.12.2, 35.30, 43.22, 43.29.8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6"/>
          <w:p>
            <w:pPr>
              <w:spacing w:after="20"/>
              <w:ind w:left="20"/>
              <w:jc w:val="both"/>
            </w:pPr>
            <w:r>
              <w:rPr>
                <w:rFonts w:ascii="Times New Roman"/>
                <w:b w:val="false"/>
                <w:i w:val="false"/>
                <w:color w:val="000000"/>
                <w:sz w:val="20"/>
              </w:rPr>
              <w:t>
очистные сооружения от промышленного загрязнения воздуха и загрязнения городского атмосферного воздуха, выхлопных газов;</w:t>
            </w:r>
          </w:p>
          <w:bookmarkEnd w:id="26"/>
          <w:p>
            <w:pPr>
              <w:spacing w:after="20"/>
              <w:ind w:left="20"/>
              <w:jc w:val="both"/>
            </w:pPr>
            <w:r>
              <w:rPr>
                <w:rFonts w:ascii="Times New Roman"/>
                <w:b w:val="false"/>
                <w:i w:val="false"/>
                <w:color w:val="000000"/>
                <w:sz w:val="20"/>
              </w:rPr>
              <w:t>
</w:t>
            </w:r>
            <w:r>
              <w:rPr>
                <w:rFonts w:ascii="Times New Roman"/>
                <w:b w:val="false"/>
                <w:i w:val="false"/>
                <w:color w:val="000000"/>
                <w:sz w:val="20"/>
              </w:rPr>
              <w:t>оборудование для сокращения промстоков;</w:t>
            </w:r>
          </w:p>
          <w:p>
            <w:pPr>
              <w:spacing w:after="20"/>
              <w:ind w:left="20"/>
              <w:jc w:val="both"/>
            </w:pPr>
            <w:r>
              <w:rPr>
                <w:rFonts w:ascii="Times New Roman"/>
                <w:b w:val="false"/>
                <w:i w:val="false"/>
                <w:color w:val="000000"/>
                <w:sz w:val="20"/>
              </w:rPr>
              <w:t>
</w:t>
            </w:r>
            <w:r>
              <w:rPr>
                <w:rFonts w:ascii="Times New Roman"/>
                <w:b w:val="false"/>
                <w:i w:val="false"/>
                <w:color w:val="000000"/>
                <w:sz w:val="20"/>
              </w:rPr>
              <w:t>оборудование для рециркуляции воздуха;</w:t>
            </w:r>
          </w:p>
          <w:p>
            <w:pPr>
              <w:spacing w:after="20"/>
              <w:ind w:left="20"/>
              <w:jc w:val="both"/>
            </w:pPr>
            <w:r>
              <w:rPr>
                <w:rFonts w:ascii="Times New Roman"/>
                <w:b w:val="false"/>
                <w:i w:val="false"/>
                <w:color w:val="000000"/>
                <w:sz w:val="20"/>
              </w:rPr>
              <w:t>
обессеривание и денитрификация, использование фильтр-пакетов, горелок выхлопных газов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выбросы в атмосферу находятся в пределах диапазонов уровня связанных выбросов – НДТ (BAT-AELs), установленных в справочниках НДТ (BREF), в том числе в рамках Директивы о промышленных выбросах (применительно к промышленным загрязнениям)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Производство и установка чистых отопительных приборов для домашних хозяйств и малого и среднего бизнеса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25.21, 25.30, 27.52.0, 28.21.1, 43.22, 46.74, 43.33.0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закупка и установка чистых отопительных приборов для снижения загрязнения воздуха; электрический радиатор (обогреватель воздуха), электрический картриджный обогреватель, ночной обогреватель, электрический пол с подогревом, теплые стены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снижение выбросов парниковых газов на 20 % по сравнению с базовым уровнем (до реализации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Улавливание и хранение углерода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35.11, 35.30, 39.00.0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продукты для улавливания и хранения углерода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7"/>
          <w:p>
            <w:pPr>
              <w:spacing w:after="20"/>
              <w:ind w:left="20"/>
              <w:jc w:val="both"/>
            </w:pPr>
            <w:r>
              <w:rPr>
                <w:rFonts w:ascii="Times New Roman"/>
                <w:b w:val="false"/>
                <w:i w:val="false"/>
                <w:color w:val="000000"/>
                <w:sz w:val="20"/>
              </w:rPr>
              <w:t>
соответствие требованиям справочника НДТ "Улавливание углекислого газа после сжигания" (Post-combustion carbon dioxide capture: best available techniques)</w:t>
            </w:r>
          </w:p>
          <w:bookmarkEnd w:id="27"/>
          <w:p>
            <w:pPr>
              <w:spacing w:after="20"/>
              <w:ind w:left="20"/>
              <w:jc w:val="both"/>
            </w:pPr>
            <w:r>
              <w:rPr>
                <w:rFonts w:ascii="Times New Roman"/>
                <w:b w:val="false"/>
                <w:i w:val="false"/>
                <w:color w:val="000000"/>
                <w:sz w:val="20"/>
              </w:rPr>
              <w:t>
или справочника НДТ (BREF) по эмиссиям при хранении в рамках комплексного предотвращения и контроля загрязнения в части управления отходами и использования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Почва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Cнижение загрязнения почвы; оборудование и инфраструктура для ее восстановления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01.11.1 до 01.30.0, 28.30.4, 39.00.0, 42.99, 43.12.3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8"/>
          <w:p>
            <w:pPr>
              <w:spacing w:after="20"/>
              <w:ind w:left="20"/>
              <w:jc w:val="both"/>
            </w:pPr>
            <w:r>
              <w:rPr>
                <w:rFonts w:ascii="Times New Roman"/>
                <w:b w:val="false"/>
                <w:i w:val="false"/>
                <w:color w:val="000000"/>
                <w:sz w:val="20"/>
              </w:rPr>
              <w:t>
оборудование и инфраструктура, использующие технологии и продукты восстановления почвы от загрязнения и деградации, улучшение плодородия почвы; устойчивое земледелие, переход на устойчивые системы земледелия, включая органические системы земледелия;</w:t>
            </w:r>
          </w:p>
          <w:bookmarkEnd w:id="28"/>
          <w:p>
            <w:pPr>
              <w:spacing w:after="20"/>
              <w:ind w:left="20"/>
              <w:jc w:val="both"/>
            </w:pPr>
            <w:r>
              <w:rPr>
                <w:rFonts w:ascii="Times New Roman"/>
                <w:b w:val="false"/>
                <w:i w:val="false"/>
                <w:color w:val="000000"/>
                <w:sz w:val="20"/>
              </w:rPr>
              <w:t>
</w:t>
            </w:r>
            <w:r>
              <w:rPr>
                <w:rFonts w:ascii="Times New Roman"/>
                <w:b w:val="false"/>
                <w:i w:val="false"/>
                <w:color w:val="000000"/>
                <w:sz w:val="20"/>
              </w:rPr>
              <w:t>применение фитомелиоративных и механических методов защиты почв;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применение нулевых и щадящих технологий в обработке почвы;</w:t>
            </w:r>
          </w:p>
          <w:p>
            <w:pPr>
              <w:spacing w:after="20"/>
              <w:ind w:left="20"/>
              <w:jc w:val="both"/>
            </w:pPr>
            <w:r>
              <w:rPr>
                <w:rFonts w:ascii="Times New Roman"/>
                <w:b w:val="false"/>
                <w:i w:val="false"/>
                <w:color w:val="000000"/>
                <w:sz w:val="20"/>
              </w:rPr>
              <w:t>
возделывание адаптированных к местным условиям культур и сортов; очищение от техногенных и антропогенных загрязнений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ограничений</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Устойчивое использование воды, отходов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Устойчивое использование воды и водосбережение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Производство, приобретение и установка технологий и систем водосбережения, хранения и распределения воды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01.61.2, 36.00.0, 42.21.2, 42.91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29"/>
          <w:p>
            <w:pPr>
              <w:spacing w:after="20"/>
              <w:ind w:left="20"/>
              <w:jc w:val="both"/>
            </w:pPr>
            <w:r>
              <w:rPr>
                <w:rFonts w:ascii="Times New Roman"/>
                <w:b w:val="false"/>
                <w:i w:val="false"/>
                <w:color w:val="000000"/>
                <w:sz w:val="20"/>
              </w:rPr>
              <w:t>
производство, приобретение и установка технологий и систем водосбережения, хранения и распределения;</w:t>
            </w:r>
          </w:p>
          <w:bookmarkEnd w:id="29"/>
          <w:p>
            <w:pPr>
              <w:spacing w:after="20"/>
              <w:ind w:left="20"/>
              <w:jc w:val="both"/>
            </w:pPr>
            <w:r>
              <w:rPr>
                <w:rFonts w:ascii="Times New Roman"/>
                <w:b w:val="false"/>
                <w:i w:val="false"/>
                <w:color w:val="000000"/>
                <w:sz w:val="20"/>
              </w:rPr>
              <w:t>
</w:t>
            </w:r>
            <w:r>
              <w:rPr>
                <w:rFonts w:ascii="Times New Roman"/>
                <w:b w:val="false"/>
                <w:i w:val="false"/>
                <w:color w:val="000000"/>
                <w:sz w:val="20"/>
              </w:rPr>
              <w:t>технологии и оборудование для очистки питьевой воды;</w:t>
            </w:r>
          </w:p>
          <w:p>
            <w:pPr>
              <w:spacing w:after="20"/>
              <w:ind w:left="20"/>
              <w:jc w:val="both"/>
            </w:pPr>
            <w:r>
              <w:rPr>
                <w:rFonts w:ascii="Times New Roman"/>
                <w:b w:val="false"/>
                <w:i w:val="false"/>
                <w:color w:val="000000"/>
                <w:sz w:val="20"/>
              </w:rPr>
              <w:t>
</w:t>
            </w:r>
            <w:r>
              <w:rPr>
                <w:rFonts w:ascii="Times New Roman"/>
                <w:b w:val="false"/>
                <w:i w:val="false"/>
                <w:color w:val="000000"/>
                <w:sz w:val="20"/>
              </w:rPr>
              <w:t>резервуары грунтовых вод для сбора талого снега или паводков, а также для регулирования уровня воды в реке;</w:t>
            </w:r>
          </w:p>
          <w:p>
            <w:pPr>
              <w:spacing w:after="20"/>
              <w:ind w:left="20"/>
              <w:jc w:val="both"/>
            </w:pPr>
            <w:r>
              <w:rPr>
                <w:rFonts w:ascii="Times New Roman"/>
                <w:b w:val="false"/>
                <w:i w:val="false"/>
                <w:color w:val="000000"/>
                <w:sz w:val="20"/>
              </w:rPr>
              <w:t>
</w:t>
            </w:r>
            <w:r>
              <w:rPr>
                <w:rFonts w:ascii="Times New Roman"/>
                <w:b w:val="false"/>
                <w:i w:val="false"/>
                <w:color w:val="000000"/>
                <w:sz w:val="20"/>
              </w:rPr>
              <w:t>использование шахтных и карьерных вод для промышленного, сельскохозяйственного, рекреационного или иного использования;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промышленные водосберегающие технологии и измерительное оборудование;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сельскохозяйственное водосберегающее орошение;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системы сбора дождевой воды;</w:t>
            </w:r>
          </w:p>
          <w:p>
            <w:pPr>
              <w:spacing w:after="20"/>
              <w:ind w:left="20"/>
              <w:jc w:val="both"/>
            </w:pPr>
            <w:r>
              <w:rPr>
                <w:rFonts w:ascii="Times New Roman"/>
                <w:b w:val="false"/>
                <w:i w:val="false"/>
                <w:color w:val="000000"/>
                <w:sz w:val="20"/>
              </w:rPr>
              <w:t>
</w:t>
            </w:r>
            <w:r>
              <w:rPr>
                <w:rFonts w:ascii="Times New Roman"/>
                <w:b w:val="false"/>
                <w:i w:val="false"/>
                <w:color w:val="000000"/>
                <w:sz w:val="20"/>
              </w:rPr>
              <w:t>системы подпитки подземных вод;</w:t>
            </w:r>
          </w:p>
          <w:p>
            <w:pPr>
              <w:spacing w:after="20"/>
              <w:ind w:left="20"/>
              <w:jc w:val="both"/>
            </w:pPr>
            <w:r>
              <w:rPr>
                <w:rFonts w:ascii="Times New Roman"/>
                <w:b w:val="false"/>
                <w:i w:val="false"/>
                <w:color w:val="000000"/>
                <w:sz w:val="20"/>
              </w:rPr>
              <w:t>
</w:t>
            </w:r>
            <w:r>
              <w:rPr>
                <w:rFonts w:ascii="Times New Roman"/>
                <w:b w:val="false"/>
                <w:i w:val="false"/>
                <w:color w:val="000000"/>
                <w:sz w:val="20"/>
              </w:rPr>
              <w:t>каналы и системы распределения;</w:t>
            </w:r>
          </w:p>
          <w:p>
            <w:pPr>
              <w:spacing w:after="20"/>
              <w:ind w:left="20"/>
              <w:jc w:val="both"/>
            </w:pPr>
            <w:r>
              <w:rPr>
                <w:rFonts w:ascii="Times New Roman"/>
                <w:b w:val="false"/>
                <w:i w:val="false"/>
                <w:color w:val="000000"/>
                <w:sz w:val="20"/>
              </w:rPr>
              <w:t>
управление ливневыми стоками, системы водооборотов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 потребления свежей (природной) воды не ниже 40 % на хозяйственно-питьевые нужды, 30 % на орошение и 70 % для производственных и технических нужд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Предотвращение и устранение последствий засухи, наводнений и селей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26.51.7, 36.00, 42.21, 84.25, 42.11.1-42.99.0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30"/>
          <w:p>
            <w:pPr>
              <w:spacing w:after="20"/>
              <w:ind w:left="20"/>
              <w:jc w:val="both"/>
            </w:pPr>
            <w:r>
              <w:rPr>
                <w:rFonts w:ascii="Times New Roman"/>
                <w:b w:val="false"/>
                <w:i w:val="false"/>
                <w:color w:val="000000"/>
                <w:sz w:val="20"/>
              </w:rPr>
              <w:t>
разработка ирригационных систем для борьбы с засухой;</w:t>
            </w:r>
          </w:p>
          <w:bookmarkEnd w:id="30"/>
          <w:p>
            <w:pPr>
              <w:spacing w:after="20"/>
              <w:ind w:left="20"/>
              <w:jc w:val="both"/>
            </w:pPr>
            <w:r>
              <w:rPr>
                <w:rFonts w:ascii="Times New Roman"/>
                <w:b w:val="false"/>
                <w:i w:val="false"/>
                <w:color w:val="000000"/>
                <w:sz w:val="20"/>
              </w:rPr>
              <w:t>
</w:t>
            </w:r>
            <w:r>
              <w:rPr>
                <w:rFonts w:ascii="Times New Roman"/>
                <w:b w:val="false"/>
                <w:i w:val="false"/>
                <w:color w:val="000000"/>
                <w:sz w:val="20"/>
              </w:rPr>
              <w:t>строительство и эксплуатация подключений к водным системам, водоохранных сооружений и других объектов по предотвращению и реагированию на водные бедствия;</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строительство противонагонных барьеров, насосных станций, дамб, затворов, дамб для береговой эрозионной инфраструктуры, ливневой канализации, противоселевых систем, дренажных систем в транспортной и энергетической инфраструктуре;</w:t>
            </w:r>
          </w:p>
          <w:p>
            <w:pPr>
              <w:spacing w:after="20"/>
              <w:ind w:left="20"/>
              <w:jc w:val="both"/>
            </w:pPr>
            <w:r>
              <w:rPr>
                <w:rFonts w:ascii="Times New Roman"/>
                <w:b w:val="false"/>
                <w:i w:val="false"/>
                <w:color w:val="000000"/>
                <w:sz w:val="20"/>
              </w:rPr>
              <w:t>
</w:t>
            </w:r>
            <w:r>
              <w:rPr>
                <w:rFonts w:ascii="Times New Roman"/>
                <w:b w:val="false"/>
                <w:i w:val="false"/>
                <w:color w:val="000000"/>
                <w:sz w:val="20"/>
              </w:rPr>
              <w:t>автоматизированные и SMART-системы мониторинга, раннего оповещения о штормах, засухах, наводнениях или разрушениях плотин;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процессы мониторинга и измерения качества или количества воды;</w:t>
            </w:r>
          </w:p>
          <w:p>
            <w:pPr>
              <w:spacing w:after="20"/>
              <w:ind w:left="20"/>
              <w:jc w:val="both"/>
            </w:pPr>
            <w:r>
              <w:rPr>
                <w:rFonts w:ascii="Times New Roman"/>
                <w:b w:val="false"/>
                <w:i w:val="false"/>
                <w:color w:val="000000"/>
                <w:sz w:val="20"/>
              </w:rPr>
              <w:t>
интеллектуальные сети для мониторинга воды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ограничений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Сооружения подготовки воды (установки)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36.00, 42.91, 43.22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31"/>
          <w:p>
            <w:pPr>
              <w:spacing w:after="20"/>
              <w:ind w:left="20"/>
              <w:jc w:val="both"/>
            </w:pPr>
            <w:r>
              <w:rPr>
                <w:rFonts w:ascii="Times New Roman"/>
                <w:b w:val="false"/>
                <w:i w:val="false"/>
                <w:color w:val="000000"/>
                <w:sz w:val="20"/>
              </w:rPr>
              <w:t>
оборудование или инфраструктура для использования воды;</w:t>
            </w:r>
          </w:p>
          <w:bookmarkEnd w:id="31"/>
          <w:p>
            <w:pPr>
              <w:spacing w:after="20"/>
              <w:ind w:left="20"/>
              <w:jc w:val="both"/>
            </w:pPr>
            <w:r>
              <w:rPr>
                <w:rFonts w:ascii="Times New Roman"/>
                <w:b w:val="false"/>
                <w:i w:val="false"/>
                <w:color w:val="000000"/>
                <w:sz w:val="20"/>
              </w:rPr>
              <w:t>
</w:t>
            </w:r>
            <w:r>
              <w:rPr>
                <w:rFonts w:ascii="Times New Roman"/>
                <w:b w:val="false"/>
                <w:i w:val="false"/>
                <w:color w:val="000000"/>
                <w:sz w:val="20"/>
              </w:rPr>
              <w:t>системы очистки воды;</w:t>
            </w:r>
          </w:p>
          <w:p>
            <w:pPr>
              <w:spacing w:after="20"/>
              <w:ind w:left="20"/>
              <w:jc w:val="both"/>
            </w:pPr>
            <w:r>
              <w:rPr>
                <w:rFonts w:ascii="Times New Roman"/>
                <w:b w:val="false"/>
                <w:i w:val="false"/>
                <w:color w:val="000000"/>
                <w:sz w:val="20"/>
              </w:rPr>
              <w:t>
опреснительные установки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32"/>
          <w:p>
            <w:pPr>
              <w:spacing w:after="20"/>
              <w:ind w:left="20"/>
              <w:jc w:val="both"/>
            </w:pPr>
            <w:r>
              <w:rPr>
                <w:rFonts w:ascii="Times New Roman"/>
                <w:b w:val="false"/>
                <w:i w:val="false"/>
                <w:color w:val="000000"/>
                <w:sz w:val="20"/>
              </w:rPr>
              <w:t>
питьевая вода: вода должна соответствовать санитарным требованиям/нормам, действующим на момент проведения оценки соответствия порогу таксономии;</w:t>
            </w:r>
          </w:p>
          <w:bookmarkEnd w:id="32"/>
          <w:p>
            <w:pPr>
              <w:spacing w:after="20"/>
              <w:ind w:left="20"/>
              <w:jc w:val="both"/>
            </w:pPr>
            <w:r>
              <w:rPr>
                <w:rFonts w:ascii="Times New Roman"/>
                <w:b w:val="false"/>
                <w:i w:val="false"/>
                <w:color w:val="000000"/>
                <w:sz w:val="20"/>
              </w:rPr>
              <w:t>
техническая вода: вода должна соответствовать паспортам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Установки по очистке сточных вод для дальнейшего вторичного использования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36.00, 37.00, 42.91, 43.22, 52.21.5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33"/>
          <w:p>
            <w:pPr>
              <w:spacing w:after="20"/>
              <w:ind w:left="20"/>
              <w:jc w:val="both"/>
            </w:pPr>
            <w:r>
              <w:rPr>
                <w:rFonts w:ascii="Times New Roman"/>
                <w:b w:val="false"/>
                <w:i w:val="false"/>
                <w:color w:val="000000"/>
                <w:sz w:val="20"/>
              </w:rPr>
              <w:t>
оборудование для очистки сточных вод;</w:t>
            </w:r>
          </w:p>
          <w:bookmarkEnd w:id="33"/>
          <w:p>
            <w:pPr>
              <w:spacing w:after="20"/>
              <w:ind w:left="20"/>
              <w:jc w:val="both"/>
            </w:pPr>
            <w:r>
              <w:rPr>
                <w:rFonts w:ascii="Times New Roman"/>
                <w:b w:val="false"/>
                <w:i w:val="false"/>
                <w:color w:val="000000"/>
                <w:sz w:val="20"/>
              </w:rPr>
              <w:t>
</w:t>
            </w:r>
            <w:r>
              <w:rPr>
                <w:rFonts w:ascii="Times New Roman"/>
                <w:b w:val="false"/>
                <w:i w:val="false"/>
                <w:color w:val="000000"/>
                <w:sz w:val="20"/>
              </w:rPr>
              <w:t>заводы по очистке сточных вод; очистка шахтных и карьерных вод, канализационные/дренажные сети с отделением ливневой воды от других сточных вод, системы повторного использования и рециркуляции бытовых и производственных сточных вод;</w:t>
            </w:r>
          </w:p>
          <w:p>
            <w:pPr>
              <w:spacing w:after="20"/>
              <w:ind w:left="20"/>
              <w:jc w:val="both"/>
            </w:pPr>
            <w:r>
              <w:rPr>
                <w:rFonts w:ascii="Times New Roman"/>
                <w:b w:val="false"/>
                <w:i w:val="false"/>
                <w:color w:val="000000"/>
                <w:sz w:val="20"/>
              </w:rPr>
              <w:t>
использование замкнутого цикла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очищенных вод по целевому использованию на вторичное водопользование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Отходы и сточные воды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Оборудование для сбора, сортировки коммунальных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28.12, 28.22.2, 28.22.3, 28.22.5, 28.22.9, 38.11, 38.21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сбора и сортировки коммунальных отходов, включая приемные пункты вторичного сырья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отходы должны быть собраны раздельно и вторичное сырье направлено на переработку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Утилизация и переработка отходов, оборудование для восстановления, повторного использования и переработки вторичного сырья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28.22.9, 33.12.2, 33.20.0, 38.21, 38.32.1, 38.32.2, 38.32.3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34"/>
          <w:p>
            <w:pPr>
              <w:spacing w:after="20"/>
              <w:ind w:left="20"/>
              <w:jc w:val="both"/>
            </w:pPr>
            <w:r>
              <w:rPr>
                <w:rFonts w:ascii="Times New Roman"/>
                <w:b w:val="false"/>
                <w:i w:val="false"/>
                <w:color w:val="000000"/>
                <w:sz w:val="20"/>
              </w:rPr>
              <w:t>
создание экологичной инфраструктуры обращения с твердыми коммунальными отходами, инфраструктуры для переработки и повторного применения отходов, образующихся при строительстве и ремонте зданий, сооружений и инфраструктурных объектов;</w:t>
            </w:r>
          </w:p>
          <w:bookmarkEnd w:id="34"/>
          <w:p>
            <w:pPr>
              <w:spacing w:after="20"/>
              <w:ind w:left="20"/>
              <w:jc w:val="both"/>
            </w:pPr>
            <w:r>
              <w:rPr>
                <w:rFonts w:ascii="Times New Roman"/>
                <w:b w:val="false"/>
                <w:i w:val="false"/>
                <w:color w:val="000000"/>
                <w:sz w:val="20"/>
              </w:rPr>
              <w:t>
оборудование для восстановления вторичного сырья (исключая сжигание), повторного использования и переработки вторичного сырья, в том числе оборудование для переработки строительных материалов, металлического лома, пластмасс, стекла, бумаги, электроники (исключая опасные компоненты), отработанных шин и золошлаковых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собранного вторичного сырья не менее 80 %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Объекты для сбора, сортировки, восстановления, повторного использования, переработки и утилизации промышленных и опасных отходов, за исключением оборудования по сжиганию опасных отходов и энергетической утилизации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35"/>
          <w:p>
            <w:pPr>
              <w:spacing w:after="20"/>
              <w:ind w:left="20"/>
              <w:jc w:val="both"/>
            </w:pPr>
            <w:r>
              <w:rPr>
                <w:rFonts w:ascii="Times New Roman"/>
                <w:b w:val="false"/>
                <w:i w:val="false"/>
                <w:color w:val="000000"/>
                <w:sz w:val="20"/>
              </w:rPr>
              <w:t>
28.22.9, 28.95.0, 28.96.0, 33.20.0, 38.11, 38.12, 38.21, 38.22.0,</w:t>
            </w:r>
          </w:p>
          <w:bookmarkEnd w:id="35"/>
          <w:p>
            <w:pPr>
              <w:spacing w:after="20"/>
              <w:ind w:left="20"/>
              <w:jc w:val="both"/>
            </w:pPr>
            <w:r>
              <w:rPr>
                <w:rFonts w:ascii="Times New Roman"/>
                <w:b w:val="false"/>
                <w:i w:val="false"/>
                <w:color w:val="000000"/>
                <w:sz w:val="20"/>
              </w:rPr>
              <w:t>
39.00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сбора, сортировки, восстановления, повторного использования, переработки и утилизации промышленных и опасных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справочнику НДТ (BREF) по обработке отходов в части управления отходами и побочными продуктами, особенно опасными промышленными отходами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Строительство и модернизация полигонов и заводов по переработке отходов, запрещенных к захоронению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38.11, 38.21.0, 38.22.0, 38.31, 38.32, 39.00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модернизация полигонов; строительство заводов по переработке отходов, запрещенных к захоронению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установленным требованиям и нормам Республики Казахстан, действующим на момент проведения оценки соответствия порогу таксономии (до 2030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Оборудование и техника для компостирования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28.15.2, 28.22.3, 28.22.9, 38.21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 техника по производству компоста из биологически разлагаемых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36"/>
          <w:p>
            <w:pPr>
              <w:spacing w:after="20"/>
              <w:ind w:left="20"/>
              <w:jc w:val="both"/>
            </w:pPr>
            <w:r>
              <w:rPr>
                <w:rFonts w:ascii="Times New Roman"/>
                <w:b w:val="false"/>
                <w:i w:val="false"/>
                <w:color w:val="000000"/>
                <w:sz w:val="20"/>
              </w:rPr>
              <w:t>
полученный компост используется для удобрения почвы;</w:t>
            </w:r>
          </w:p>
          <w:bookmarkEnd w:id="36"/>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пластика, стекла и металла в готовом компосте;</w:t>
            </w:r>
          </w:p>
          <w:p>
            <w:pPr>
              <w:spacing w:after="20"/>
              <w:ind w:left="20"/>
              <w:jc w:val="both"/>
            </w:pPr>
            <w:r>
              <w:rPr>
                <w:rFonts w:ascii="Times New Roman"/>
                <w:b w:val="false"/>
                <w:i w:val="false"/>
                <w:color w:val="000000"/>
                <w:sz w:val="20"/>
              </w:rPr>
              <w:t>
</w:t>
            </w:r>
            <w:r>
              <w:rPr>
                <w:rFonts w:ascii="Times New Roman"/>
                <w:b w:val="false"/>
                <w:i w:val="false"/>
                <w:color w:val="000000"/>
                <w:sz w:val="20"/>
              </w:rPr>
              <w:t>соответствие компоста</w:t>
            </w:r>
          </w:p>
          <w:p>
            <w:pPr>
              <w:spacing w:after="20"/>
              <w:ind w:left="20"/>
              <w:jc w:val="both"/>
            </w:pPr>
            <w:r>
              <w:rPr>
                <w:rFonts w:ascii="Times New Roman"/>
                <w:b w:val="false"/>
                <w:i w:val="false"/>
                <w:color w:val="000000"/>
                <w:sz w:val="20"/>
              </w:rPr>
              <w:t>
национальным стандартам для биоудобрений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Установка по очистке сточных вод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37.00, 38, 39.00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сбора, хранения, очистки и удаления сточных вод; заводы по очистке сточных вод; сооружения по очистке шлама; оборудование для очистки питьевой воды; опреснительные установки; очистные сооружения для навоза и навозной жижи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выбросы в атмосферу и воду находятся в пределах диапазонов уровня связанных выбросов – НДТ (BAT-AELs или пороговых значений), установленных в справочнике НДТ (BREF) для анаэробной обработки отходов (если применимо)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Сохранение и восстановление ресурсов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Замена сырья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токсичного сырья на нетоксичное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ограничений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Использование вторичного сырья для производства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38.11.0, 38.32.1, 38.32.2, 38.32.3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природных ресурсов на вторичное сырье, выпуск продукции с применением вторичного сырья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30 % вторичного сырья в составе продукции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Устойчивое сельское хозяйство, землепользование, лесное хозяйство, сохранение биоразнообразия и экологический туризм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Устойчивое сельское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Продукция органического сельского хозяйства (растениеводство и животноводство) (кроме текстильной)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01.1, 01.2, 01.4, 01.6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сельскохозяйственных, земледельческих и рыбных органических продуктов (включая строительство и эксплуатацию объектов), соответствующих стандартам чистого производства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37"/>
          <w:p>
            <w:pPr>
              <w:spacing w:after="20"/>
              <w:ind w:left="20"/>
              <w:jc w:val="both"/>
            </w:pPr>
            <w:r>
              <w:rPr>
                <w:rFonts w:ascii="Times New Roman"/>
                <w:b w:val="false"/>
                <w:i w:val="false"/>
                <w:color w:val="000000"/>
                <w:sz w:val="20"/>
              </w:rPr>
              <w:t>
1) соответствующие международные, межгосударственные или национальные стандарты для органических продуктов, а также маркировка приобретенных органических или "зеленых" продуктов;</w:t>
            </w:r>
          </w:p>
          <w:bookmarkEnd w:id="37"/>
          <w:p>
            <w:pPr>
              <w:spacing w:after="20"/>
              <w:ind w:left="20"/>
              <w:jc w:val="both"/>
            </w:pPr>
            <w:r>
              <w:rPr>
                <w:rFonts w:ascii="Times New Roman"/>
                <w:b w:val="false"/>
                <w:i w:val="false"/>
                <w:color w:val="000000"/>
                <w:sz w:val="20"/>
              </w:rPr>
              <w:t>
</w:t>
            </w:r>
            <w:r>
              <w:rPr>
                <w:rFonts w:ascii="Times New Roman"/>
                <w:b w:val="false"/>
                <w:i w:val="false"/>
                <w:color w:val="000000"/>
                <w:sz w:val="20"/>
              </w:rPr>
              <w:t>2) экологические стандарты и стандарты качества для использования пестицидов, удобрений, ветеринарных препаратов, кормов и кормовых добавок, пищевых добавок и гигиены животных;</w:t>
            </w:r>
          </w:p>
          <w:p>
            <w:pPr>
              <w:spacing w:after="20"/>
              <w:ind w:left="20"/>
              <w:jc w:val="both"/>
            </w:pPr>
            <w:r>
              <w:rPr>
                <w:rFonts w:ascii="Times New Roman"/>
                <w:b w:val="false"/>
                <w:i w:val="false"/>
                <w:color w:val="000000"/>
                <w:sz w:val="20"/>
              </w:rPr>
              <w:t>
</w:t>
            </w:r>
            <w:r>
              <w:rPr>
                <w:rFonts w:ascii="Times New Roman"/>
                <w:b w:val="false"/>
                <w:i w:val="false"/>
                <w:color w:val="000000"/>
                <w:sz w:val="20"/>
              </w:rPr>
              <w:t>3) устойчивые методы ведения сельского хозяйства, такие как управление отходами и эффективность использования воды, в том числе с использованием дождевой воды;</w:t>
            </w:r>
          </w:p>
          <w:p>
            <w:pPr>
              <w:spacing w:after="20"/>
              <w:ind w:left="20"/>
              <w:jc w:val="both"/>
            </w:pPr>
            <w:r>
              <w:rPr>
                <w:rFonts w:ascii="Times New Roman"/>
                <w:b w:val="false"/>
                <w:i w:val="false"/>
                <w:color w:val="000000"/>
                <w:sz w:val="20"/>
              </w:rPr>
              <w:t>
4) устойчивые методы цепочки поставок (например, предотвращение потери продуктов питания); производство органической продукции, получившей международный, межгосударственный либо признанный национальный сертификат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Климатически умное сельское хозяйство (устойчивое управление пастбищами и животноводством)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01.1, 01.2, 01.4, 01.6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 использования энергии и воды в тяговых, ирригационных и других сельскохозяйственных или животноводческих процессах, а также уменьшение использования земли, т.е. внедрение ротационного использования пастбищных угодий (консервация деградированных пастбищ) для снижения деградации и сохранения экосистемы; применение стандартов по животноводству для устойчивого управления пастбищными угодьями и содействия производству/управлению животноводством на основе качества (высокой урожайности); эффективная обработка почвы (предотвращение засухи), аквакультура, пастухи/скотоводческие общины, уменьшающие размеры своего стада и внедряющие более устойчивые методы животноводства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38"/>
          <w:p>
            <w:pPr>
              <w:spacing w:after="20"/>
              <w:ind w:left="20"/>
              <w:jc w:val="both"/>
            </w:pPr>
            <w:r>
              <w:rPr>
                <w:rFonts w:ascii="Times New Roman"/>
                <w:b w:val="false"/>
                <w:i w:val="false"/>
                <w:color w:val="000000"/>
                <w:sz w:val="20"/>
              </w:rPr>
              <w:t>
сокращение потребления свежей (природной) воды не ниже 30 %;</w:t>
            </w:r>
          </w:p>
          <w:bookmarkEnd w:id="38"/>
          <w:p>
            <w:pPr>
              <w:spacing w:after="20"/>
              <w:ind w:left="20"/>
              <w:jc w:val="both"/>
            </w:pPr>
            <w:r>
              <w:rPr>
                <w:rFonts w:ascii="Times New Roman"/>
                <w:b w:val="false"/>
                <w:i w:val="false"/>
                <w:color w:val="000000"/>
                <w:sz w:val="20"/>
              </w:rPr>
              <w:t>
</w:t>
            </w:r>
            <w:r>
              <w:rPr>
                <w:rFonts w:ascii="Times New Roman"/>
                <w:b w:val="false"/>
                <w:i w:val="false"/>
                <w:color w:val="000000"/>
                <w:sz w:val="20"/>
              </w:rPr>
              <w:t>вторичное использование воды;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применение ВИЭ;</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минимальное снижение потребления энергии или выбросов парниковых газов не ниже 20 %;</w:t>
            </w:r>
          </w:p>
          <w:p>
            <w:pPr>
              <w:spacing w:after="20"/>
              <w:ind w:left="20"/>
              <w:jc w:val="both"/>
            </w:pPr>
            <w:r>
              <w:rPr>
                <w:rFonts w:ascii="Times New Roman"/>
                <w:b w:val="false"/>
                <w:i w:val="false"/>
                <w:color w:val="000000"/>
                <w:sz w:val="20"/>
              </w:rPr>
              <w:t>
применительно к проектам, предусматривающим уменьшение использования земли, консервацию деградированных пастбищ, внедрение методов устойчивого сельского хозяйства и (или) животноводства, применимы альтернативные критерии – демонстрация повышения продуктивности без увеличения нагрузки на экосистемы, уменьшения пищевых и сельскохозяйственных отходов либо повышения адаптации к изменению климата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Устойчивое управление лесами и сохранение биоразнообразия и экосистем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Облесение и лесовосстановление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39"/>
          <w:p>
            <w:pPr>
              <w:spacing w:after="20"/>
              <w:ind w:left="20"/>
              <w:jc w:val="both"/>
            </w:pPr>
            <w:r>
              <w:rPr>
                <w:rFonts w:ascii="Times New Roman"/>
                <w:b w:val="false"/>
                <w:i w:val="false"/>
                <w:color w:val="000000"/>
                <w:sz w:val="20"/>
              </w:rPr>
              <w:t>
посадка лесных культур;</w:t>
            </w:r>
          </w:p>
          <w:bookmarkEnd w:id="39"/>
          <w:p>
            <w:pPr>
              <w:spacing w:after="20"/>
              <w:ind w:left="20"/>
              <w:jc w:val="both"/>
            </w:pPr>
            <w:r>
              <w:rPr>
                <w:rFonts w:ascii="Times New Roman"/>
                <w:b w:val="false"/>
                <w:i w:val="false"/>
                <w:color w:val="000000"/>
                <w:sz w:val="20"/>
              </w:rPr>
              <w:t>
</w:t>
            </w:r>
            <w:r>
              <w:rPr>
                <w:rFonts w:ascii="Times New Roman"/>
                <w:b w:val="false"/>
                <w:i w:val="false"/>
                <w:color w:val="000000"/>
                <w:sz w:val="20"/>
              </w:rPr>
              <w:t>создание лесных плантаций, в том числе проекты, соответствующие стандартам REDD+, VERRA;</w:t>
            </w:r>
          </w:p>
          <w:p>
            <w:pPr>
              <w:spacing w:after="20"/>
              <w:ind w:left="20"/>
              <w:jc w:val="both"/>
            </w:pPr>
            <w:r>
              <w:rPr>
                <w:rFonts w:ascii="Times New Roman"/>
                <w:b w:val="false"/>
                <w:i w:val="false"/>
                <w:color w:val="000000"/>
                <w:sz w:val="20"/>
              </w:rPr>
              <w:t>
создание зеленых зон вокруг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ограничений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Устойчивое управление лесами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02.10, 02.40.0, 71.12.4, 71.12.5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увеличивающие функцию лесов по депонированию углерода или снижающие воздействие лесохозяйственной деятельности за счет соответствующих практик устойчивого управления лесными экосистемами, информационных систем и технологий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40"/>
          <w:p>
            <w:pPr>
              <w:spacing w:after="20"/>
              <w:ind w:left="20"/>
              <w:jc w:val="both"/>
            </w:pPr>
            <w:r>
              <w:rPr>
                <w:rFonts w:ascii="Times New Roman"/>
                <w:b w:val="false"/>
                <w:i w:val="false"/>
                <w:color w:val="000000"/>
                <w:sz w:val="20"/>
              </w:rPr>
              <w:t>
применительно к управлению лесами высокой природоохранной ценности – наличие добровольной международной сертификации, например, сертификации Лесного попечительского совета – (Forest Stewardship Council-FSC), Программы одобрения схем лесной сертификации (Program for the Endorsement of Forest Certification schemes-PEFC) либо добровольной сертификации по национальному стандарту устойчивого лесоуправления;</w:t>
            </w:r>
          </w:p>
          <w:bookmarkEnd w:id="40"/>
          <w:p>
            <w:pPr>
              <w:spacing w:after="20"/>
              <w:ind w:left="20"/>
              <w:jc w:val="both"/>
            </w:pPr>
            <w:r>
              <w:rPr>
                <w:rFonts w:ascii="Times New Roman"/>
                <w:b w:val="false"/>
                <w:i w:val="false"/>
                <w:color w:val="000000"/>
                <w:sz w:val="20"/>
              </w:rPr>
              <w:t>
в остальных случаях – без ограничений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Сохранение биоразнообразия и экосистем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91.04.2, 93.19.0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41"/>
          <w:p>
            <w:pPr>
              <w:spacing w:after="20"/>
              <w:ind w:left="20"/>
              <w:jc w:val="both"/>
            </w:pPr>
            <w:r>
              <w:rPr>
                <w:rFonts w:ascii="Times New Roman"/>
                <w:b w:val="false"/>
                <w:i w:val="false"/>
                <w:color w:val="000000"/>
                <w:sz w:val="20"/>
              </w:rPr>
              <w:t>
проекты по сохранению биосферы посредством защиты и (или) восстановления деградированных экосистем;</w:t>
            </w:r>
          </w:p>
          <w:bookmarkEnd w:id="41"/>
          <w:p>
            <w:pPr>
              <w:spacing w:after="20"/>
              <w:ind w:left="20"/>
              <w:jc w:val="both"/>
            </w:pPr>
            <w:r>
              <w:rPr>
                <w:rFonts w:ascii="Times New Roman"/>
                <w:b w:val="false"/>
                <w:i w:val="false"/>
                <w:color w:val="000000"/>
                <w:sz w:val="20"/>
              </w:rPr>
              <w:t>
строительство и поддержание экологической функциональной зоны, такой как конкретная среда обитания диких животных, водно-болотные угодья, торфяники, пустыни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ограничений</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Устойчивый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Продукты и услуги, способствующие развитию экотуризма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64.19, 64.20, 64.92, 64.99, 84.13, 85.10, 79, 55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направленных на развитие экологического туризма, вовлечение местного населения (программы микрокредитования, субсидии), экологическое просвещение, создание инфраструктуры для экологического туризма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законодательными нормами Республики Казахстан (по туристской деятельности), а также национальными, международными, межгосударственными экологическими стандартами или стандартами экомаркировки в сфере туристических услуг и экологически чистых маршрутов, включая или признанные стандарты экомаркировки иностранного государства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Устойчивое управление гостиницей и лагерем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55.10, 55.20, 55.30, 55.90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деятельностью отелей и лагерей в соответствии с национальными, международными или межгосударственными стандартами устойчивого гостиничного бизнеса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национальным, международным, межгосударственным экологическими стандартами или стандартом экомаркировки в сфере услуг средств размещения и экологических требований к гостиницам, хостелам либо признанным стандартам иностранного государства для гостиничного сектора, например, "Листок жизни", EU Eco-labelling, Nordic Swan и др.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Чистый транспорт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Низкоуглеродные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Покупка, аренда низкоуглеродных автомобилей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42"/>
          <w:p>
            <w:pPr>
              <w:spacing w:after="20"/>
              <w:ind w:left="20"/>
              <w:jc w:val="both"/>
            </w:pPr>
            <w:r>
              <w:rPr>
                <w:rFonts w:ascii="Times New Roman"/>
                <w:b w:val="false"/>
                <w:i w:val="false"/>
                <w:color w:val="000000"/>
                <w:sz w:val="20"/>
              </w:rPr>
              <w:t>
любой код ОКЭД для покупателя (вид деятельности компании может быть любой)</w:t>
            </w:r>
          </w:p>
          <w:bookmarkEnd w:id="42"/>
          <w:p>
            <w:pPr>
              <w:spacing w:after="20"/>
              <w:ind w:left="20"/>
              <w:jc w:val="both"/>
            </w:pPr>
            <w:r>
              <w:rPr>
                <w:rFonts w:ascii="Times New Roman"/>
                <w:b w:val="false"/>
                <w:i w:val="false"/>
                <w:color w:val="000000"/>
                <w:sz w:val="20"/>
              </w:rPr>
              <w:t>
77.1, 77.3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аренда низкоуглеродных автомобилей, в том числе электромобилей, транспортных средств на водородных, гибридных двигателях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43"/>
          <w:p>
            <w:pPr>
              <w:spacing w:after="20"/>
              <w:ind w:left="20"/>
              <w:jc w:val="both"/>
            </w:pPr>
            <w:r>
              <w:rPr>
                <w:rFonts w:ascii="Times New Roman"/>
                <w:b w:val="false"/>
                <w:i w:val="false"/>
                <w:color w:val="000000"/>
                <w:sz w:val="20"/>
              </w:rPr>
              <w:t>
прямые выбросы &lt;50 граммов CO2е / км;</w:t>
            </w:r>
          </w:p>
          <w:bookmarkEnd w:id="43"/>
          <w:p>
            <w:pPr>
              <w:spacing w:after="20"/>
              <w:ind w:left="20"/>
              <w:jc w:val="both"/>
            </w:pPr>
            <w:r>
              <w:rPr>
                <w:rFonts w:ascii="Times New Roman"/>
                <w:b w:val="false"/>
                <w:i w:val="false"/>
                <w:color w:val="000000"/>
                <w:sz w:val="20"/>
              </w:rPr>
              <w:t>
для мусороуборочной и сельскохозяйственной техники допускается альтернативный порог – соответствие стандарту Euro V или VI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Производственные цепочки поставок для низкоуглеродных автомобилей, безмоторного и микроэлектротранспорта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27.20.0, 27.90, 29.10, 29.3, 30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44"/>
          <w:p>
            <w:pPr>
              <w:spacing w:after="20"/>
              <w:ind w:left="20"/>
              <w:jc w:val="both"/>
            </w:pPr>
            <w:r>
              <w:rPr>
                <w:rFonts w:ascii="Times New Roman"/>
                <w:b w:val="false"/>
                <w:i w:val="false"/>
                <w:color w:val="000000"/>
                <w:sz w:val="20"/>
              </w:rPr>
              <w:t>
специализированные производственные мощности для транспортных средств и ключевых компонентов;</w:t>
            </w:r>
          </w:p>
          <w:bookmarkEnd w:id="44"/>
          <w:p>
            <w:pPr>
              <w:spacing w:after="20"/>
              <w:ind w:left="20"/>
              <w:jc w:val="both"/>
            </w:pPr>
            <w:r>
              <w:rPr>
                <w:rFonts w:ascii="Times New Roman"/>
                <w:b w:val="false"/>
                <w:i w:val="false"/>
                <w:color w:val="000000"/>
                <w:sz w:val="20"/>
              </w:rPr>
              <w:t>
батареи, используемые в соответствующих транспортных средствах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 выбросы &lt;50 граммов CO2е / км</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Низкоуглеродные грузоперевозки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Низкоуглеродные грузоперевозки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30.20, 49.20, 49.3, 49.41, 50, 51, 77.12, 77.34, 77.35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45"/>
          <w:p>
            <w:pPr>
              <w:spacing w:after="20"/>
              <w:ind w:left="20"/>
              <w:jc w:val="both"/>
            </w:pPr>
            <w:r>
              <w:rPr>
                <w:rFonts w:ascii="Times New Roman"/>
                <w:b w:val="false"/>
                <w:i w:val="false"/>
                <w:color w:val="000000"/>
                <w:sz w:val="20"/>
              </w:rPr>
              <w:t>
подвижной состав для электрифицированных и неэлектрифицированных грузовых железнодорожных перевозок; воздушно транспортные средства на альтернативных источниках топлива;</w:t>
            </w:r>
          </w:p>
          <w:bookmarkEnd w:id="45"/>
          <w:p>
            <w:pPr>
              <w:spacing w:after="20"/>
              <w:ind w:left="20"/>
              <w:jc w:val="both"/>
            </w:pPr>
            <w:r>
              <w:rPr>
                <w:rFonts w:ascii="Times New Roman"/>
                <w:b w:val="false"/>
                <w:i w:val="false"/>
                <w:color w:val="000000"/>
                <w:sz w:val="20"/>
              </w:rPr>
              <w:t>
низкоуглеродные грузовые автомобильные перевозки; низкоуглеродный водный и речной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46"/>
          <w:p>
            <w:pPr>
              <w:spacing w:after="20"/>
              <w:ind w:left="20"/>
              <w:jc w:val="both"/>
            </w:pPr>
            <w:r>
              <w:rPr>
                <w:rFonts w:ascii="Times New Roman"/>
                <w:b w:val="false"/>
                <w:i w:val="false"/>
                <w:color w:val="000000"/>
                <w:sz w:val="20"/>
              </w:rPr>
              <w:t>
для автомобильных перевозок – прямые выбросы 50 граммов CO2е / тонна * км или соответствие стандарту Euro V или VI;</w:t>
            </w:r>
          </w:p>
          <w:bookmarkEnd w:id="46"/>
          <w:p>
            <w:pPr>
              <w:spacing w:after="20"/>
              <w:ind w:left="20"/>
              <w:jc w:val="both"/>
            </w:pPr>
            <w:r>
              <w:rPr>
                <w:rFonts w:ascii="Times New Roman"/>
                <w:b w:val="false"/>
                <w:i w:val="false"/>
                <w:color w:val="000000"/>
                <w:sz w:val="20"/>
              </w:rPr>
              <w:t>
</w:t>
            </w:r>
            <w:r>
              <w:rPr>
                <w:rFonts w:ascii="Times New Roman"/>
                <w:b w:val="false"/>
                <w:i w:val="false"/>
                <w:color w:val="000000"/>
                <w:sz w:val="20"/>
              </w:rPr>
              <w:t>для железнодорожных перевозок – прямые выбросы 40 граммов CO2е / тонна * км;</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водного транспорта – судно имеет нулевые прямые выбросы CO2e либо получает 100 % энергии из топлива или иных энергоносителей, обеспечивающих снижение выбросов парниковых газов как минимум на 80 % по сравнению с эквивалентом ископаемого топлива, при этом суда не предназначены для перевозки ископаемого топлива;</w:t>
            </w:r>
          </w:p>
          <w:p>
            <w:pPr>
              <w:spacing w:after="20"/>
              <w:ind w:left="20"/>
              <w:jc w:val="both"/>
            </w:pPr>
            <w:r>
              <w:rPr>
                <w:rFonts w:ascii="Times New Roman"/>
                <w:b w:val="false"/>
                <w:i w:val="false"/>
                <w:color w:val="000000"/>
                <w:sz w:val="20"/>
              </w:rPr>
              <w:t>
для воздушного транспорта – источник энергии имеет нулевые прямые выбросы CO2 (например, водород или электричество), либо в качестве топлива применяется SAF (экологически чистое авиационное топливо), обеспечивающее существенное снижение выбросов CO2е на тонна*км или пассажир-км, при этом сырье для SAF должно быть признано ИКАО соответствующим требованиям в рамках схемы компенсации и сокращения выбросов углерода для международной авиации (CORSIA) и (или) сертифицирован в рамках Директивы ЕС по возобновляемой энергии (EU RED)</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Чистая транспортная инфраструктура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Инфраструктура общественного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42.1, 49.10, 49.20, 49.31, 49.39, 72.19.1, 77.11, 77.21, 77.39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47"/>
          <w:p>
            <w:pPr>
              <w:spacing w:after="20"/>
              <w:ind w:left="20"/>
              <w:jc w:val="both"/>
            </w:pPr>
            <w:r>
              <w:rPr>
                <w:rFonts w:ascii="Times New Roman"/>
                <w:b w:val="false"/>
                <w:i w:val="false"/>
                <w:color w:val="000000"/>
                <w:sz w:val="20"/>
              </w:rPr>
              <w:t>
общественный автомобильный, железнодорожный, водный и воздушный транспорт и транспортная инфраструктура; системы скоростных автобусных перевозок (BRT systems);</w:t>
            </w:r>
          </w:p>
          <w:bookmarkEnd w:id="47"/>
          <w:p>
            <w:pPr>
              <w:spacing w:after="20"/>
              <w:ind w:left="20"/>
              <w:jc w:val="both"/>
            </w:pPr>
            <w:r>
              <w:rPr>
                <w:rFonts w:ascii="Times New Roman"/>
                <w:b w:val="false"/>
                <w:i w:val="false"/>
                <w:color w:val="000000"/>
                <w:sz w:val="20"/>
              </w:rPr>
              <w:t>
</w:t>
            </w:r>
            <w:r>
              <w:rPr>
                <w:rFonts w:ascii="Times New Roman"/>
                <w:b w:val="false"/>
                <w:i w:val="false"/>
                <w:color w:val="000000"/>
                <w:sz w:val="20"/>
              </w:rPr>
              <w:t>обособленная полоса для общественного транспорта;</w:t>
            </w:r>
          </w:p>
          <w:p>
            <w:pPr>
              <w:spacing w:after="20"/>
              <w:ind w:left="20"/>
              <w:jc w:val="both"/>
            </w:pPr>
            <w:r>
              <w:rPr>
                <w:rFonts w:ascii="Times New Roman"/>
                <w:b w:val="false"/>
                <w:i w:val="false"/>
                <w:color w:val="000000"/>
                <w:sz w:val="20"/>
              </w:rPr>
              <w:t>
</w:t>
            </w:r>
            <w:r>
              <w:rPr>
                <w:rFonts w:ascii="Times New Roman"/>
                <w:b w:val="false"/>
                <w:i w:val="false"/>
                <w:color w:val="000000"/>
                <w:sz w:val="20"/>
              </w:rPr>
              <w:t>парковки для общественного транспорта в конечном пункте;</w:t>
            </w:r>
          </w:p>
          <w:p>
            <w:pPr>
              <w:spacing w:after="20"/>
              <w:ind w:left="20"/>
              <w:jc w:val="both"/>
            </w:pPr>
            <w:r>
              <w:rPr>
                <w:rFonts w:ascii="Times New Roman"/>
                <w:b w:val="false"/>
                <w:i w:val="false"/>
                <w:color w:val="000000"/>
                <w:sz w:val="20"/>
              </w:rPr>
              <w:t>
</w:t>
            </w:r>
            <w:r>
              <w:rPr>
                <w:rFonts w:ascii="Times New Roman"/>
                <w:b w:val="false"/>
                <w:i w:val="false"/>
                <w:color w:val="000000"/>
                <w:sz w:val="20"/>
              </w:rPr>
              <w:t>остановочные пункты, транспортно-пересадочный узел;</w:t>
            </w:r>
          </w:p>
          <w:p>
            <w:pPr>
              <w:spacing w:after="20"/>
              <w:ind w:left="20"/>
              <w:jc w:val="both"/>
            </w:pPr>
            <w:r>
              <w:rPr>
                <w:rFonts w:ascii="Times New Roman"/>
                <w:b w:val="false"/>
                <w:i w:val="false"/>
                <w:color w:val="000000"/>
                <w:sz w:val="20"/>
              </w:rPr>
              <w:t>
</w:t>
            </w:r>
            <w:r>
              <w:rPr>
                <w:rFonts w:ascii="Times New Roman"/>
                <w:b w:val="false"/>
                <w:i w:val="false"/>
                <w:color w:val="000000"/>
                <w:sz w:val="20"/>
              </w:rPr>
              <w:t>общественная велосипедная инфраструктура;</w:t>
            </w:r>
          </w:p>
          <w:p>
            <w:pPr>
              <w:spacing w:after="20"/>
              <w:ind w:left="20"/>
              <w:jc w:val="both"/>
            </w:pPr>
            <w:r>
              <w:rPr>
                <w:rFonts w:ascii="Times New Roman"/>
                <w:b w:val="false"/>
                <w:i w:val="false"/>
                <w:color w:val="000000"/>
                <w:sz w:val="20"/>
              </w:rPr>
              <w:t>
</w:t>
            </w:r>
            <w:r>
              <w:rPr>
                <w:rFonts w:ascii="Times New Roman"/>
                <w:b w:val="false"/>
                <w:i w:val="false"/>
                <w:color w:val="000000"/>
                <w:sz w:val="20"/>
              </w:rPr>
              <w:t>общественная велосипедная инфраструктура и инфраструктура для использования электросамокатов, моноколҰс и прочих средств индивидуальной мобильности, в том числе связанная с созданием данной инфраструктуры;</w:t>
            </w:r>
          </w:p>
          <w:p>
            <w:pPr>
              <w:spacing w:after="20"/>
              <w:ind w:left="20"/>
              <w:jc w:val="both"/>
            </w:pPr>
            <w:r>
              <w:rPr>
                <w:rFonts w:ascii="Times New Roman"/>
                <w:b w:val="false"/>
                <w:i w:val="false"/>
                <w:color w:val="000000"/>
                <w:sz w:val="20"/>
              </w:rPr>
              <w:t>
покупка парка безмоторного и микроэлектротранспорта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48"/>
          <w:p>
            <w:pPr>
              <w:spacing w:after="20"/>
              <w:ind w:left="20"/>
              <w:jc w:val="both"/>
            </w:pPr>
            <w:r>
              <w:rPr>
                <w:rFonts w:ascii="Times New Roman"/>
                <w:b w:val="false"/>
                <w:i w:val="false"/>
                <w:color w:val="000000"/>
                <w:sz w:val="20"/>
              </w:rPr>
              <w:t>
для общественного транспорта – прямые выбросы 50 граммов CO2е / пассажир - км;</w:t>
            </w:r>
          </w:p>
          <w:bookmarkEnd w:id="48"/>
          <w:p>
            <w:pPr>
              <w:spacing w:after="20"/>
              <w:ind w:left="20"/>
              <w:jc w:val="both"/>
            </w:pPr>
            <w:r>
              <w:rPr>
                <w:rFonts w:ascii="Times New Roman"/>
                <w:b w:val="false"/>
                <w:i w:val="false"/>
                <w:color w:val="000000"/>
                <w:sz w:val="20"/>
              </w:rPr>
              <w:t>
</w:t>
            </w:r>
            <w:r>
              <w:rPr>
                <w:rFonts w:ascii="Times New Roman"/>
                <w:b w:val="false"/>
                <w:i w:val="false"/>
                <w:color w:val="000000"/>
                <w:sz w:val="20"/>
              </w:rPr>
              <w:t>без ограничений для велосипедной инфраструктуры и инфраструктуры для использования средств индивидуальной мобильности;</w:t>
            </w:r>
          </w:p>
          <w:p>
            <w:pPr>
              <w:spacing w:after="20"/>
              <w:ind w:left="20"/>
              <w:jc w:val="both"/>
            </w:pPr>
            <w:r>
              <w:rPr>
                <w:rFonts w:ascii="Times New Roman"/>
                <w:b w:val="false"/>
                <w:i w:val="false"/>
                <w:color w:val="000000"/>
                <w:sz w:val="20"/>
              </w:rPr>
              <w:t>
для водного и воздушного транспорта – см. пороговые критерии для подсектора по низкоуглеродным перевозкам (7.2.1)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Низкоуглеродная транспортная инфраструктура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42, 52.21, 45.20.2, 45.20.3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специализированная инфраструктура для зарядных станций и альтернативного топлива (в случае, когда зарядные станции альтернативного топлива находятся отдельно от заправочных станций и гаражей ископаемого топлива); экотопливная станция, зарядная станция для электромобилей, троллейбусов, трамваев, электрических автобусов и соответствующей инфраструктуры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ограничений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Планирование низкоуглеродного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42, 49.3, 52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49"/>
          <w:p>
            <w:pPr>
              <w:spacing w:after="20"/>
              <w:ind w:left="20"/>
              <w:jc w:val="both"/>
            </w:pPr>
            <w:r>
              <w:rPr>
                <w:rFonts w:ascii="Times New Roman"/>
                <w:b w:val="false"/>
                <w:i w:val="false"/>
                <w:color w:val="000000"/>
                <w:sz w:val="20"/>
              </w:rPr>
              <w:t>
интеграция транспортного и градостроительного планирования, ведущая к сокращению использования легковых автомобилей;</w:t>
            </w:r>
          </w:p>
          <w:bookmarkEnd w:id="49"/>
          <w:p>
            <w:pPr>
              <w:spacing w:after="20"/>
              <w:ind w:left="20"/>
              <w:jc w:val="both"/>
            </w:pPr>
            <w:r>
              <w:rPr>
                <w:rFonts w:ascii="Times New Roman"/>
                <w:b w:val="false"/>
                <w:i w:val="false"/>
                <w:color w:val="000000"/>
                <w:sz w:val="20"/>
              </w:rPr>
              <w:t>
</w:t>
            </w:r>
            <w:r>
              <w:rPr>
                <w:rFonts w:ascii="Times New Roman"/>
                <w:b w:val="false"/>
                <w:i w:val="false"/>
                <w:color w:val="000000"/>
                <w:sz w:val="20"/>
              </w:rPr>
              <w:t>плотная застройка;</w:t>
            </w:r>
          </w:p>
          <w:p>
            <w:pPr>
              <w:spacing w:after="20"/>
              <w:ind w:left="20"/>
              <w:jc w:val="both"/>
            </w:pPr>
            <w:r>
              <w:rPr>
                <w:rFonts w:ascii="Times New Roman"/>
                <w:b w:val="false"/>
                <w:i w:val="false"/>
                <w:color w:val="000000"/>
                <w:sz w:val="20"/>
              </w:rPr>
              <w:t>
</w:t>
            </w:r>
            <w:r>
              <w:rPr>
                <w:rFonts w:ascii="Times New Roman"/>
                <w:b w:val="false"/>
                <w:i w:val="false"/>
                <w:color w:val="000000"/>
                <w:sz w:val="20"/>
              </w:rPr>
              <w:t>многократное использование земли;</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переход на пешее общество;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транзитное сообщение;</w:t>
            </w:r>
          </w:p>
          <w:p>
            <w:pPr>
              <w:spacing w:after="20"/>
              <w:ind w:left="20"/>
              <w:jc w:val="both"/>
            </w:pPr>
            <w:r>
              <w:rPr>
                <w:rFonts w:ascii="Times New Roman"/>
                <w:b w:val="false"/>
                <w:i w:val="false"/>
                <w:color w:val="000000"/>
                <w:sz w:val="20"/>
              </w:rPr>
              <w:t>
умные системы грузоперевозки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ограничений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Чистые транспортные ИКТ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ИКТ, которые улучшают использование активов, поток и модальное улучшение, независимо от вида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61, 62, 63.1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50"/>
          <w:p>
            <w:pPr>
              <w:spacing w:after="20"/>
              <w:ind w:left="20"/>
              <w:jc w:val="both"/>
            </w:pPr>
            <w:r>
              <w:rPr>
                <w:rFonts w:ascii="Times New Roman"/>
                <w:b w:val="false"/>
                <w:i w:val="false"/>
                <w:color w:val="000000"/>
                <w:sz w:val="20"/>
              </w:rPr>
              <w:t>
информация об общественном транспорте, система регулирования дорожного потока и умный светофор;</w:t>
            </w:r>
          </w:p>
          <w:bookmarkEnd w:id="50"/>
          <w:p>
            <w:pPr>
              <w:spacing w:after="20"/>
              <w:ind w:left="20"/>
              <w:jc w:val="both"/>
            </w:pPr>
            <w:r>
              <w:rPr>
                <w:rFonts w:ascii="Times New Roman"/>
                <w:b w:val="false"/>
                <w:i w:val="false"/>
                <w:color w:val="000000"/>
                <w:sz w:val="20"/>
              </w:rPr>
              <w:t>
</w:t>
            </w:r>
            <w:r>
              <w:rPr>
                <w:rFonts w:ascii="Times New Roman"/>
                <w:b w:val="false"/>
                <w:i w:val="false"/>
                <w:color w:val="000000"/>
                <w:sz w:val="20"/>
              </w:rPr>
              <w:t>GPS навигатор с датчиком определения геопозиции;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центральное диспетчерское управление;</w:t>
            </w:r>
          </w:p>
          <w:p>
            <w:pPr>
              <w:spacing w:after="20"/>
              <w:ind w:left="20"/>
              <w:jc w:val="both"/>
            </w:pPr>
            <w:r>
              <w:rPr>
                <w:rFonts w:ascii="Times New Roman"/>
                <w:b w:val="false"/>
                <w:i w:val="false"/>
                <w:color w:val="000000"/>
                <w:sz w:val="20"/>
              </w:rPr>
              <w:t>
электронная система оплаты проезда, схемы совместного использования автомобилей, смарт-карты, системы дорожной зарядки и т.д.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соответствия сериям стандартов СТ РК ISO/IEC 30134 "Информационные технологии. Центры обработки данных. Ключевые показатели эффективности", СТ РК ISO 14001 "Системы экологического менеджмента. Требования и руководство по применению", СТ РК ISO 50001 "Системы энергетического менеджмента. Требования и руководство по использованию"</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Переходная энергетика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Альтернативные источники, замена топлива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Производство электроэнергии и тепла из газообразного ископаемого топлива, замена топлива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35.11.9, 35.21.0, 35.30.2, 42.22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51"/>
          <w:p>
            <w:pPr>
              <w:spacing w:after="20"/>
              <w:ind w:left="20"/>
              <w:jc w:val="both"/>
            </w:pPr>
            <w:r>
              <w:rPr>
                <w:rFonts w:ascii="Times New Roman"/>
                <w:b w:val="false"/>
                <w:i w:val="false"/>
                <w:color w:val="000000"/>
                <w:sz w:val="20"/>
              </w:rPr>
              <w:t>
утилизация отработанного тепла, полученного при выработке электроэнергии на газообразном ископаемом топливе;</w:t>
            </w:r>
          </w:p>
          <w:bookmarkEnd w:id="51"/>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установки для выработки тепла и электроэнергии с использованием природного газа (электростанция на природном газе, распределенная станция на природном газе, ТЭЦ, печи на природном газе), метана угольных пластов (CBM), метана угольных шахт (CMM), сланцевого газа, сжиженного газа (LPG), сжиженного природного газа (LNG), сжатого природного газа (CNG), диметилового эфира (DME) в качестве заменителя угля или дополнения к возобновляемым источникам энергии;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переход на электрическое отопление или отопление на сжиженном газе (LPG);</w:t>
            </w:r>
          </w:p>
          <w:p>
            <w:pPr>
              <w:spacing w:after="20"/>
              <w:ind w:left="20"/>
              <w:jc w:val="both"/>
            </w:pPr>
            <w:r>
              <w:rPr>
                <w:rFonts w:ascii="Times New Roman"/>
                <w:b w:val="false"/>
                <w:i w:val="false"/>
                <w:color w:val="000000"/>
                <w:sz w:val="20"/>
              </w:rPr>
              <w:t>
установки для выработки тепла с использованием отходящих газов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52"/>
          <w:p>
            <w:pPr>
              <w:spacing w:after="20"/>
              <w:ind w:left="20"/>
              <w:jc w:val="both"/>
            </w:pPr>
            <w:r>
              <w:rPr>
                <w:rFonts w:ascii="Times New Roman"/>
                <w:b w:val="false"/>
                <w:i w:val="false"/>
                <w:color w:val="000000"/>
                <w:sz w:val="20"/>
              </w:rPr>
              <w:t>
прямые выбросы парниковых газов в результате использования природного газа ниже 270 г CO2е / кВтч отпускаемой энергии или ежегодные прямые выбросы парниковых газов в результате деятельности не превышают в среднем 550 кг CO2 е / кВт мощности объекта за 20 лет;</w:t>
            </w:r>
          </w:p>
          <w:bookmarkEnd w:id="52"/>
          <w:p>
            <w:pPr>
              <w:spacing w:after="20"/>
              <w:ind w:left="20"/>
              <w:jc w:val="both"/>
            </w:pPr>
            <w:r>
              <w:rPr>
                <w:rFonts w:ascii="Times New Roman"/>
                <w:b w:val="false"/>
                <w:i w:val="false"/>
                <w:color w:val="000000"/>
                <w:sz w:val="20"/>
              </w:rPr>
              <w:t>
исключаются установки, использующие уголь в качестве исходного топлива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Производство оборудования для атомной энергетики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26, 27, 28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вспомогательное оборудование атомных электростанций, материалы радиационной защиты, устройства безопасности и контроля; оборудование для производства по добыче урана, очистке и конверсии урана, обогащению урана и производству топливных элементов; обращение с выводимыми из эксплуатации ядерными объектами и радиоактивными отходами, изготовление соответствующего очистного оборудования и оборудования для комплексной утилизации урановых рудников.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ограничений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Строительство и эксплуатация атомных электростанций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35.11.3, 42.22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53"/>
          <w:p>
            <w:pPr>
              <w:spacing w:after="20"/>
              <w:ind w:left="20"/>
              <w:jc w:val="both"/>
            </w:pPr>
            <w:r>
              <w:rPr>
                <w:rFonts w:ascii="Times New Roman"/>
                <w:b w:val="false"/>
                <w:i w:val="false"/>
                <w:color w:val="000000"/>
                <w:sz w:val="20"/>
              </w:rPr>
              <w:t>
строительство и эксплуатация объектов, выделяющих тепло от управляемого деления ядер и вырабатывающих электроэнергию с использованием ядерных технологий третьего, четвертого поколений и выше, с учетом обеспечения экологической безопасности;</w:t>
            </w:r>
          </w:p>
          <w:bookmarkEnd w:id="53"/>
          <w:p>
            <w:pPr>
              <w:spacing w:after="20"/>
              <w:ind w:left="20"/>
              <w:jc w:val="both"/>
            </w:pPr>
            <w:r>
              <w:rPr>
                <w:rFonts w:ascii="Times New Roman"/>
                <w:b w:val="false"/>
                <w:i w:val="false"/>
                <w:color w:val="000000"/>
                <w:sz w:val="20"/>
              </w:rPr>
              <w:t>
строительство инфраструктуры, обеспечивающей устойчивую и безопасную эксплуатацию атомных электростанций, в том числе по утилизации отходов – продуктов ядерной энергетической отрасли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54"/>
          <w:p>
            <w:pPr>
              <w:spacing w:after="20"/>
              <w:ind w:left="20"/>
              <w:jc w:val="both"/>
            </w:pPr>
            <w:r>
              <w:rPr>
                <w:rFonts w:ascii="Times New Roman"/>
                <w:b w:val="false"/>
                <w:i w:val="false"/>
                <w:color w:val="000000"/>
                <w:sz w:val="20"/>
              </w:rPr>
              <w:t>
наличие заключения ОВОС о допустимости реализации проекта;</w:t>
            </w:r>
          </w:p>
          <w:bookmarkEnd w:id="54"/>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плана обращения как с нерадиоактивными, так и с радиоактивными отходами, обеспечивающим максимальное повторное использование или переработку таких отходов в конце срока службы;</w:t>
            </w:r>
          </w:p>
          <w:p>
            <w:pPr>
              <w:spacing w:after="20"/>
              <w:ind w:left="20"/>
              <w:jc w:val="both"/>
            </w:pPr>
            <w:r>
              <w:rPr>
                <w:rFonts w:ascii="Times New Roman"/>
                <w:b w:val="false"/>
                <w:i w:val="false"/>
                <w:color w:val="000000"/>
                <w:sz w:val="20"/>
              </w:rPr>
              <w:t>
</w:t>
            </w:r>
            <w:r>
              <w:rPr>
                <w:rFonts w:ascii="Times New Roman"/>
                <w:b w:val="false"/>
                <w:i w:val="false"/>
                <w:color w:val="000000"/>
                <w:sz w:val="20"/>
              </w:rPr>
              <w:t>нерадиоактивные выбросы находятся в пределах уровней выбросов в рамках НДТ (BREF) (BAT-AEL или пороговых значений) для крупных топливосжигающих установок;</w:t>
            </w:r>
          </w:p>
          <w:p>
            <w:pPr>
              <w:spacing w:after="20"/>
              <w:ind w:left="20"/>
              <w:jc w:val="both"/>
            </w:pPr>
            <w:r>
              <w:rPr>
                <w:rFonts w:ascii="Times New Roman"/>
                <w:b w:val="false"/>
                <w:i w:val="false"/>
                <w:color w:val="000000"/>
                <w:sz w:val="20"/>
              </w:rPr>
              <w:t>
сооответствие национальным законодательным и нормативным правовым требованиям в области использовании атомной энергии, организации хранения и захоронения радиоактивных отходов и отработавшего ядерного топлива</w:t>
            </w:r>
          </w:p>
        </w:tc>
      </w:tr>
    </w:tbl>
    <w:bookmarkStart w:name="z127" w:id="55"/>
    <w:p>
      <w:pPr>
        <w:spacing w:after="0"/>
        <w:ind w:left="0"/>
        <w:jc w:val="both"/>
      </w:pPr>
      <w:r>
        <w:rPr>
          <w:rFonts w:ascii="Times New Roman"/>
          <w:b w:val="false"/>
          <w:i w:val="false"/>
          <w:color w:val="000000"/>
          <w:sz w:val="28"/>
        </w:rPr>
        <w:t>
      Примечания:</w:t>
      </w:r>
    </w:p>
    <w:bookmarkEnd w:id="55"/>
    <w:bookmarkStart w:name="z128" w:id="56"/>
    <w:p>
      <w:pPr>
        <w:spacing w:after="0"/>
        <w:ind w:left="0"/>
        <w:jc w:val="both"/>
      </w:pPr>
      <w:r>
        <w:rPr>
          <w:rFonts w:ascii="Times New Roman"/>
          <w:b w:val="false"/>
          <w:i w:val="false"/>
          <w:color w:val="000000"/>
          <w:sz w:val="28"/>
        </w:rPr>
        <w:t xml:space="preserve">
      * коды Общего классификатора видов экономической деятельности (ОКЭД), соответствующие определенному подсектору проектов, приведены с целью упрощения применения "зеленой" таксономии организациями, деятельность которых предусматривает учет классификации экономической деятельности. Следует принимать во внимание, что коды ОКЭД не являются самостоятельным критерием отнесения проектов к категории экологически устойчивых проектов, поскольку они могут включать в себя, помимо прочего, виды товаров, услуг и работ, не отражающих содержания соответствующей категории, сектора или подсектора таксономии, а также то, что соответствие установленным в таксономии пороговым критериям является условием отнесения проектов к "зеленым". </w:t>
      </w:r>
    </w:p>
    <w:bookmarkEnd w:id="56"/>
    <w:bookmarkStart w:name="z129" w:id="57"/>
    <w:p>
      <w:pPr>
        <w:spacing w:after="0"/>
        <w:ind w:left="0"/>
        <w:jc w:val="both"/>
      </w:pPr>
      <w:r>
        <w:rPr>
          <w:rFonts w:ascii="Times New Roman"/>
          <w:b w:val="false"/>
          <w:i w:val="false"/>
          <w:color w:val="000000"/>
          <w:sz w:val="28"/>
        </w:rPr>
        <w:t>
      Если проект или деятельность, рассматриваемые на предмет соответствия таксономии в целях классификации в качестве "зеленого" проекта, отвечают по своему существу и характеру применяемых технологий содержательной части таксономии (наименованиям категорий, секторов, подсекторов, приведенным примерам и пороговым критериям), то отсутствие в таксономии в рамках рассматриваемой категории соответствующего кода ОКЭД, под который предположительно подпадает данный проект или деятельность, не может служить основанием для отказа в его классификации как соответствующего таксономии.</w:t>
      </w:r>
    </w:p>
    <w:bookmarkEnd w:id="57"/>
    <w:bookmarkStart w:name="z130" w:id="58"/>
    <w:p>
      <w:pPr>
        <w:spacing w:after="0"/>
        <w:ind w:left="0"/>
        <w:jc w:val="both"/>
      </w:pPr>
      <w:r>
        <w:rPr>
          <w:rFonts w:ascii="Times New Roman"/>
          <w:b w:val="false"/>
          <w:i w:val="false"/>
          <w:color w:val="000000"/>
          <w:sz w:val="28"/>
        </w:rPr>
        <w:t>
      Указанная классификация ОКЭД применима к производителям товаров, работ и услуг и не распространяется на физических и юридических лиц, приобретающих соответствующие товары, работы и услуги;</w:t>
      </w:r>
    </w:p>
    <w:bookmarkEnd w:id="58"/>
    <w:bookmarkStart w:name="z131" w:id="59"/>
    <w:p>
      <w:pPr>
        <w:spacing w:after="0"/>
        <w:ind w:left="0"/>
        <w:jc w:val="both"/>
      </w:pPr>
      <w:r>
        <w:rPr>
          <w:rFonts w:ascii="Times New Roman"/>
          <w:b w:val="false"/>
          <w:i w:val="false"/>
          <w:color w:val="000000"/>
          <w:sz w:val="28"/>
        </w:rPr>
        <w:t>
      ** здесь и далее под НДТ подразумеваются прежде всего национальные справочники наилучших доступных техник (НДТ РК). При отсутствии национального справочника наилучших доступных техник Республики Казахстан следует ссылаться на соответствующие справочники НДТ Европейского Союза (BREF);</w:t>
      </w:r>
    </w:p>
    <w:bookmarkEnd w:id="59"/>
    <w:bookmarkStart w:name="z132" w:id="60"/>
    <w:p>
      <w:pPr>
        <w:spacing w:after="0"/>
        <w:ind w:left="0"/>
        <w:jc w:val="both"/>
      </w:pPr>
      <w:r>
        <w:rPr>
          <w:rFonts w:ascii="Times New Roman"/>
          <w:b w:val="false"/>
          <w:i w:val="false"/>
          <w:color w:val="000000"/>
          <w:sz w:val="28"/>
        </w:rPr>
        <w:t>
      *** действует до 31 декабря 2035 года.</w:t>
      </w:r>
    </w:p>
    <w:bookmarkEnd w:id="60"/>
    <w:bookmarkStart w:name="z133" w:id="61"/>
    <w:p>
      <w:pPr>
        <w:spacing w:after="0"/>
        <w:ind w:left="0"/>
        <w:jc w:val="both"/>
      </w:pPr>
      <w:r>
        <w:rPr>
          <w:rFonts w:ascii="Times New Roman"/>
          <w:b w:val="false"/>
          <w:i w:val="false"/>
          <w:color w:val="000000"/>
          <w:sz w:val="28"/>
        </w:rPr>
        <w:t>
      Расшифровка аббревиатур:</w:t>
      </w:r>
    </w:p>
    <w:bookmarkEnd w:id="61"/>
    <w:bookmarkStart w:name="z134" w:id="62"/>
    <w:p>
      <w:pPr>
        <w:spacing w:after="0"/>
        <w:ind w:left="0"/>
        <w:jc w:val="both"/>
      </w:pPr>
      <w:r>
        <w:rPr>
          <w:rFonts w:ascii="Times New Roman"/>
          <w:b w:val="false"/>
          <w:i w:val="false"/>
          <w:color w:val="000000"/>
          <w:sz w:val="28"/>
        </w:rPr>
        <w:t>
      ИКТ – информационные и коммуникационные технологии</w:t>
      </w:r>
    </w:p>
    <w:bookmarkEnd w:id="62"/>
    <w:bookmarkStart w:name="z135" w:id="63"/>
    <w:p>
      <w:pPr>
        <w:spacing w:after="0"/>
        <w:ind w:left="0"/>
        <w:jc w:val="both"/>
      </w:pPr>
      <w:r>
        <w:rPr>
          <w:rFonts w:ascii="Times New Roman"/>
          <w:b w:val="false"/>
          <w:i w:val="false"/>
          <w:color w:val="000000"/>
          <w:sz w:val="28"/>
        </w:rPr>
        <w:t>
      ВИЭ – возобновляемые источники энергии</w:t>
      </w:r>
    </w:p>
    <w:bookmarkEnd w:id="63"/>
    <w:bookmarkStart w:name="z136" w:id="64"/>
    <w:p>
      <w:pPr>
        <w:spacing w:after="0"/>
        <w:ind w:left="0"/>
        <w:jc w:val="both"/>
      </w:pPr>
      <w:r>
        <w:rPr>
          <w:rFonts w:ascii="Times New Roman"/>
          <w:b w:val="false"/>
          <w:i w:val="false"/>
          <w:color w:val="000000"/>
          <w:sz w:val="28"/>
        </w:rPr>
        <w:t xml:space="preserve">
      НДТ – наилучшие доступные техники </w:t>
      </w:r>
    </w:p>
    <w:bookmarkEnd w:id="64"/>
    <w:bookmarkStart w:name="z137" w:id="65"/>
    <w:p>
      <w:pPr>
        <w:spacing w:after="0"/>
        <w:ind w:left="0"/>
        <w:jc w:val="both"/>
      </w:pPr>
      <w:r>
        <w:rPr>
          <w:rFonts w:ascii="Times New Roman"/>
          <w:b w:val="false"/>
          <w:i w:val="false"/>
          <w:color w:val="000000"/>
          <w:sz w:val="28"/>
        </w:rPr>
        <w:t>
      СТ РК – национальный стандарт Республики Казахстан</w:t>
      </w:r>
    </w:p>
    <w:bookmarkEnd w:id="65"/>
    <w:bookmarkStart w:name="z138" w:id="66"/>
    <w:p>
      <w:pPr>
        <w:spacing w:after="0"/>
        <w:ind w:left="0"/>
        <w:jc w:val="both"/>
      </w:pPr>
      <w:r>
        <w:rPr>
          <w:rFonts w:ascii="Times New Roman"/>
          <w:b w:val="false"/>
          <w:i w:val="false"/>
          <w:color w:val="000000"/>
          <w:sz w:val="28"/>
        </w:rPr>
        <w:t>
      BAT-AELs – сопутствующие уровни выбросов, приведенные в справочниках BREF</w:t>
      </w:r>
    </w:p>
    <w:bookmarkEnd w:id="66"/>
    <w:bookmarkStart w:name="z139" w:id="67"/>
    <w:p>
      <w:pPr>
        <w:spacing w:after="0"/>
        <w:ind w:left="0"/>
        <w:jc w:val="both"/>
      </w:pPr>
      <w:r>
        <w:rPr>
          <w:rFonts w:ascii="Times New Roman"/>
          <w:b w:val="false"/>
          <w:i w:val="false"/>
          <w:color w:val="000000"/>
          <w:sz w:val="28"/>
        </w:rPr>
        <w:t>
      BREEAM, LEED, EDGE, DGNB – признанные международные системы рейтинговой оценки и стандарты экологической эффективности зданий и экологического строительства</w:t>
      </w:r>
    </w:p>
    <w:bookmarkEnd w:id="67"/>
    <w:bookmarkStart w:name="z140" w:id="68"/>
    <w:p>
      <w:pPr>
        <w:spacing w:after="0"/>
        <w:ind w:left="0"/>
        <w:jc w:val="both"/>
      </w:pPr>
      <w:r>
        <w:rPr>
          <w:rFonts w:ascii="Times New Roman"/>
          <w:b w:val="false"/>
          <w:i w:val="false"/>
          <w:color w:val="000000"/>
          <w:sz w:val="28"/>
        </w:rPr>
        <w:t>
      BREF (Best Available Techniques Reference Document) – справочники по наилучшим доступным техникам Европейского Союза (представляют собой серию справочных документов, имеющих отношение к промышленной деятельности, условиям эксплуатации оборудования и нормам сбросов и выбросов загрязняющих веществ в окружающую среду)</w:t>
      </w:r>
    </w:p>
    <w:bookmarkEnd w:id="68"/>
    <w:bookmarkStart w:name="z141" w:id="69"/>
    <w:p>
      <w:pPr>
        <w:spacing w:after="0"/>
        <w:ind w:left="0"/>
        <w:jc w:val="both"/>
      </w:pPr>
      <w:r>
        <w:rPr>
          <w:rFonts w:ascii="Times New Roman"/>
          <w:b w:val="false"/>
          <w:i w:val="false"/>
          <w:color w:val="000000"/>
          <w:sz w:val="28"/>
        </w:rPr>
        <w:t>
      CO – монооксид углерода (угарный газ)</w:t>
      </w:r>
    </w:p>
    <w:bookmarkEnd w:id="69"/>
    <w:bookmarkStart w:name="z142" w:id="70"/>
    <w:p>
      <w:pPr>
        <w:spacing w:after="0"/>
        <w:ind w:left="0"/>
        <w:jc w:val="both"/>
      </w:pPr>
      <w:r>
        <w:rPr>
          <w:rFonts w:ascii="Times New Roman"/>
          <w:b w:val="false"/>
          <w:i w:val="false"/>
          <w:color w:val="000000"/>
          <w:sz w:val="28"/>
        </w:rPr>
        <w:t>
      CO2е (CO2 – эквивалент) – условная единица, используемая для оценки объемов выбросов парниковых газов (представляет собой объем выброса углекислого газа (CO2), имеющий радиационное воздействие, эквивалентное воздействию объема выброса идеально перемешанного парникового газа или смеси идеально перемешанных парниковых газов; при этом объем выброса каждого газа смеси умножают на соответствующий ему потенциал глобального потепления)</w:t>
      </w:r>
    </w:p>
    <w:bookmarkEnd w:id="70"/>
    <w:bookmarkStart w:name="z143" w:id="71"/>
    <w:p>
      <w:pPr>
        <w:spacing w:after="0"/>
        <w:ind w:left="0"/>
        <w:jc w:val="both"/>
      </w:pPr>
      <w:r>
        <w:rPr>
          <w:rFonts w:ascii="Times New Roman"/>
          <w:b w:val="false"/>
          <w:i w:val="false"/>
          <w:color w:val="000000"/>
          <w:sz w:val="28"/>
        </w:rPr>
        <w:t>
      CSP – технология концентрации солнечной энергии</w:t>
      </w:r>
    </w:p>
    <w:bookmarkEnd w:id="71"/>
    <w:bookmarkStart w:name="z144" w:id="72"/>
    <w:p>
      <w:pPr>
        <w:spacing w:after="0"/>
        <w:ind w:left="0"/>
        <w:jc w:val="both"/>
      </w:pPr>
      <w:r>
        <w:rPr>
          <w:rFonts w:ascii="Times New Roman"/>
          <w:b w:val="false"/>
          <w:i w:val="false"/>
          <w:color w:val="000000"/>
          <w:sz w:val="28"/>
        </w:rPr>
        <w:t>
      NOx – оксиды азота NO и NO2</w:t>
      </w:r>
    </w:p>
    <w:bookmarkEnd w:id="72"/>
    <w:bookmarkStart w:name="z145" w:id="73"/>
    <w:p>
      <w:pPr>
        <w:spacing w:after="0"/>
        <w:ind w:left="0"/>
        <w:jc w:val="both"/>
      </w:pPr>
      <w:r>
        <w:rPr>
          <w:rFonts w:ascii="Times New Roman"/>
          <w:b w:val="false"/>
          <w:i w:val="false"/>
          <w:color w:val="000000"/>
          <w:sz w:val="28"/>
        </w:rPr>
        <w:t>
      PV – модуль фотоэлектрических элементов (для производства солнечной энергии)</w:t>
      </w:r>
    </w:p>
    <w:bookmarkEnd w:id="73"/>
    <w:bookmarkStart w:name="z146" w:id="74"/>
    <w:p>
      <w:pPr>
        <w:spacing w:after="0"/>
        <w:ind w:left="0"/>
        <w:jc w:val="both"/>
      </w:pPr>
      <w:r>
        <w:rPr>
          <w:rFonts w:ascii="Times New Roman"/>
          <w:b w:val="false"/>
          <w:i w:val="false"/>
          <w:color w:val="000000"/>
          <w:sz w:val="28"/>
        </w:rPr>
        <w:t>
      SO2 – диоксид серы (IV)</w:t>
      </w:r>
    </w:p>
    <w:bookmarkEnd w:id="74"/>
    <w:bookmarkStart w:name="z147" w:id="75"/>
    <w:p>
      <w:pPr>
        <w:spacing w:after="0"/>
        <w:ind w:left="0"/>
        <w:jc w:val="both"/>
      </w:pPr>
      <w:r>
        <w:rPr>
          <w:rFonts w:ascii="Times New Roman"/>
          <w:b w:val="false"/>
          <w:i w:val="false"/>
          <w:color w:val="000000"/>
          <w:sz w:val="28"/>
        </w:rPr>
        <w:t>
      VFD drive – частотно-регулируемый привод</w:t>
      </w:r>
    </w:p>
    <w:bookmarkEnd w:id="75"/>
    <w:bookmarkStart w:name="z148" w:id="76"/>
    <w:p>
      <w:pPr>
        <w:spacing w:after="0"/>
        <w:ind w:left="0"/>
        <w:jc w:val="both"/>
      </w:pPr>
      <w:r>
        <w:rPr>
          <w:rFonts w:ascii="Times New Roman"/>
          <w:b w:val="false"/>
          <w:i w:val="false"/>
          <w:color w:val="000000"/>
          <w:sz w:val="28"/>
        </w:rPr>
        <w:t>
      ________________________________</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