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a5b2" w14:textId="0c8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статуса исследовательского университета некоммерческому акционерному обществу "Карагандинский университет имени академика Е.А. Букетова" и утверждении его Программы развития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2024 года № 258.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Республики Казахстан "О науке и технологической политике" и </w:t>
      </w:r>
      <w:r>
        <w:rPr>
          <w:rFonts w:ascii="Times New Roman"/>
          <w:b w:val="false"/>
          <w:i w:val="false"/>
          <w:color w:val="000000"/>
          <w:sz w:val="28"/>
        </w:rPr>
        <w:t>подпунктом 21-6)</w:t>
      </w:r>
      <w:r>
        <w:rPr>
          <w:rFonts w:ascii="Times New Roman"/>
          <w:b w:val="false"/>
          <w:i w:val="false"/>
          <w:color w:val="000000"/>
          <w:sz w:val="28"/>
        </w:rPr>
        <w:t xml:space="preserve"> статьи 1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02.09.2024 </w:t>
      </w:r>
      <w:r>
        <w:rPr>
          <w:rFonts w:ascii="Times New Roman"/>
          <w:b w:val="false"/>
          <w:i w:val="false"/>
          <w:color w:val="000000"/>
          <w:sz w:val="28"/>
        </w:rPr>
        <w:t>№ 713</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Присвоить статус исследовательского университета некоммерческому акционерному обществу "Карагандинский университет имени академика Е.А. Букетова".</w:t>
      </w:r>
    </w:p>
    <w:bookmarkEnd w:id="1"/>
    <w:bookmarkStart w:name="z5" w:id="2"/>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некоммерческого акционерного общества "Карагандинский университет имени академика Е.А. Букетова" на 2024 – 2028 годы.</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2024 года № 258</w:t>
            </w:r>
          </w:p>
        </w:tc>
      </w:tr>
    </w:tbl>
    <w:bookmarkStart w:name="z9" w:id="4"/>
    <w:p>
      <w:pPr>
        <w:spacing w:after="0"/>
        <w:ind w:left="0"/>
        <w:jc w:val="left"/>
      </w:pPr>
      <w:r>
        <w:rPr>
          <w:rFonts w:ascii="Times New Roman"/>
          <w:b/>
          <w:i w:val="false"/>
          <w:color w:val="000000"/>
        </w:rPr>
        <w:t xml:space="preserve"> Программа развития</w:t>
      </w:r>
      <w:r>
        <w:br/>
      </w:r>
      <w:r>
        <w:rPr>
          <w:rFonts w:ascii="Times New Roman"/>
          <w:b/>
          <w:i w:val="false"/>
          <w:color w:val="000000"/>
        </w:rPr>
        <w:t xml:space="preserve">некоммерческого акционерного общества </w:t>
      </w:r>
      <w:r>
        <w:br/>
      </w:r>
      <w:r>
        <w:rPr>
          <w:rFonts w:ascii="Times New Roman"/>
          <w:b/>
          <w:i w:val="false"/>
          <w:color w:val="000000"/>
        </w:rPr>
        <w:t>"Карагандинский университет имени академика Е.А. Букетова"</w:t>
      </w:r>
      <w:r>
        <w:br/>
      </w:r>
      <w:r>
        <w:rPr>
          <w:rFonts w:ascii="Times New Roman"/>
          <w:b/>
          <w:i w:val="false"/>
          <w:color w:val="000000"/>
        </w:rPr>
        <w:t>на 2024 – 2028 годы</w:t>
      </w:r>
    </w:p>
    <w:bookmarkEnd w:id="4"/>
    <w:p>
      <w:pPr>
        <w:spacing w:after="0"/>
        <w:ind w:left="0"/>
        <w:jc w:val="both"/>
      </w:pPr>
      <w:r>
        <w:rPr>
          <w:rFonts w:ascii="Times New Roman"/>
          <w:b w:val="false"/>
          <w:i w:val="false"/>
          <w:color w:val="ff0000"/>
          <w:sz w:val="28"/>
        </w:rPr>
        <w:t xml:space="preserve">
      Сноска. Программа с изменением, внесенным постановлением Правительства РК от 02.09.2024 </w:t>
      </w:r>
      <w:r>
        <w:rPr>
          <w:rFonts w:ascii="Times New Roman"/>
          <w:b w:val="false"/>
          <w:i w:val="false"/>
          <w:color w:val="ff0000"/>
          <w:sz w:val="28"/>
        </w:rPr>
        <w:t>№ 713</w:t>
      </w:r>
      <w:r>
        <w:rPr>
          <w:rFonts w:ascii="Times New Roman"/>
          <w:b w:val="false"/>
          <w:i w:val="false"/>
          <w:color w:val="ff0000"/>
          <w:sz w:val="28"/>
        </w:rPr>
        <w:t xml:space="preserve"> (вводится в действие с 01.09.2024).</w:t>
      </w:r>
    </w:p>
    <w:bookmarkStart w:name="z10" w:id="5"/>
    <w:p>
      <w:pPr>
        <w:spacing w:after="0"/>
        <w:ind w:left="0"/>
        <w:jc w:val="both"/>
      </w:pPr>
      <w:r>
        <w:rPr>
          <w:rFonts w:ascii="Times New Roman"/>
          <w:b w:val="false"/>
          <w:i w:val="false"/>
          <w:color w:val="000000"/>
          <w:sz w:val="28"/>
        </w:rPr>
        <w:t>
      г. Астана, 2024 год</w:t>
      </w:r>
    </w:p>
    <w:bookmarkEnd w:id="5"/>
    <w:bookmarkStart w:name="z11" w:id="6"/>
    <w:p>
      <w:pPr>
        <w:spacing w:after="0"/>
        <w:ind w:left="0"/>
        <w:jc w:val="left"/>
      </w:pPr>
      <w:r>
        <w:rPr>
          <w:rFonts w:ascii="Times New Roman"/>
          <w:b/>
          <w:i w:val="false"/>
          <w:color w:val="000000"/>
        </w:rPr>
        <w:t xml:space="preserve"> Содержание</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 Паспорт Программы развития некоммерческого акционерного общества "Карагандинский университет имени академика Е.А. Букетова" и введение (краткая аннотация и цель Программы развития)………………………………………………………………………...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 Обзор текущего состояния некоммерческого акционерного общества "Карагандинский университет имени академика Е.А. Букетова", включая его достижения, проблемы и вызовы………………………………..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 1</w:t>
            </w:r>
            <w:r>
              <w:rPr>
                <w:rFonts w:ascii="Times New Roman"/>
                <w:b w:val="false"/>
                <w:i w:val="false"/>
                <w:color w:val="000000"/>
                <w:sz w:val="20"/>
              </w:rPr>
              <w:t>. Анализ текущего состояния……………………………...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 2</w:t>
            </w:r>
            <w:r>
              <w:rPr>
                <w:rFonts w:ascii="Times New Roman"/>
                <w:b w:val="false"/>
                <w:i w:val="false"/>
                <w:color w:val="000000"/>
                <w:sz w:val="20"/>
              </w:rPr>
              <w:t>. Анализ трендов и вызовов……………………………..…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 3</w:t>
            </w:r>
            <w:r>
              <w:rPr>
                <w:rFonts w:ascii="Times New Roman"/>
                <w:b w:val="false"/>
                <w:i w:val="false"/>
                <w:color w:val="000000"/>
                <w:sz w:val="20"/>
              </w:rPr>
              <w:t>. Прогноз развития и определение возможных сценариев развития и их влияния на некоммерческое акционерное общество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 Видение, миссия и ценности Программы развития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 Стратегические приоритеты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 Пути достижения поставленной цели Программы развития некоммерческого акционерного общества "Карагандинский университет имени академика Е.А. Букетова"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 Описание ожидаемых результатов реализации Программы развития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r>
              <w:rPr>
                <w:rFonts w:ascii="Times New Roman"/>
                <w:b w:val="false"/>
                <w:i w:val="false"/>
                <w:color w:val="000000"/>
                <w:sz w:val="20"/>
              </w:rPr>
              <w:t>. Мониторинг и оценка прогресса реализации Программы развития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r>
              <w:rPr>
                <w:rFonts w:ascii="Times New Roman"/>
                <w:b w:val="false"/>
                <w:i w:val="false"/>
                <w:color w:val="000000"/>
                <w:sz w:val="20"/>
              </w:rPr>
              <w:t xml:space="preserve"> Программы развития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План</w:t>
            </w:r>
            <w:r>
              <w:rPr>
                <w:rFonts w:ascii="Times New Roman"/>
                <w:b w:val="false"/>
                <w:i w:val="false"/>
                <w:color w:val="000000"/>
                <w:sz w:val="20"/>
              </w:rPr>
              <w:t xml:space="preserve"> мероприятий по реализации целевых индикаторов Программы развития некоммерческого акционерного общества "Карагандинский университет имени академика Е.А. Букетова"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i w:val="false"/>
          <w:color w:val="000000"/>
          <w:sz w:val="28"/>
        </w:rPr>
        <w:t>Раздел 1. Паспорт Программы развития некоммерческого акционерного общества "Карагандинский университет имени академика Е.А. Букетова" и введение (краткая аннотация и цель Программы развития)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"Карагандинский университет имени академика Е.А. Букетова" на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Подпункт 5)</w:t>
            </w:r>
            <w:r>
              <w:rPr>
                <w:rFonts w:ascii="Times New Roman"/>
                <w:b w:val="false"/>
                <w:i w:val="false"/>
                <w:color w:val="000000"/>
                <w:sz w:val="20"/>
              </w:rPr>
              <w:t xml:space="preserve"> статьи 5, </w:t>
            </w:r>
            <w:r>
              <w:rPr>
                <w:rFonts w:ascii="Times New Roman"/>
                <w:b w:val="false"/>
                <w:i w:val="false"/>
                <w:color w:val="000000"/>
                <w:sz w:val="20"/>
              </w:rPr>
              <w:t>пункт 5</w:t>
            </w:r>
            <w:r>
              <w:rPr>
                <w:rFonts w:ascii="Times New Roman"/>
                <w:b w:val="false"/>
                <w:i w:val="false"/>
                <w:color w:val="000000"/>
                <w:sz w:val="20"/>
              </w:rPr>
              <w:t xml:space="preserve"> статьи 12, </w:t>
            </w:r>
            <w:r>
              <w:rPr>
                <w:rFonts w:ascii="Times New Roman"/>
                <w:b w:val="false"/>
                <w:i w:val="false"/>
                <w:color w:val="000000"/>
                <w:sz w:val="20"/>
              </w:rPr>
              <w:t>статья 13</w:t>
            </w:r>
            <w:r>
              <w:rPr>
                <w:rFonts w:ascii="Times New Roman"/>
                <w:b w:val="false"/>
                <w:i w:val="false"/>
                <w:color w:val="000000"/>
                <w:sz w:val="20"/>
              </w:rPr>
              <w:t xml:space="preserve"> Закона Республики Казахстан "О науке и технологической политике".</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Подпункт 21- 6)</w:t>
            </w:r>
            <w:r>
              <w:rPr>
                <w:rFonts w:ascii="Times New Roman"/>
                <w:b w:val="false"/>
                <w:i w:val="false"/>
                <w:color w:val="000000"/>
                <w:sz w:val="20"/>
              </w:rPr>
              <w:t xml:space="preserve"> статьи 1, </w:t>
            </w:r>
            <w:r>
              <w:rPr>
                <w:rFonts w:ascii="Times New Roman"/>
                <w:b w:val="false"/>
                <w:i w:val="false"/>
                <w:color w:val="000000"/>
                <w:sz w:val="20"/>
              </w:rPr>
              <w:t>подпункт 23)</w:t>
            </w:r>
            <w:r>
              <w:rPr>
                <w:rFonts w:ascii="Times New Roman"/>
                <w:b w:val="false"/>
                <w:i w:val="false"/>
                <w:color w:val="000000"/>
                <w:sz w:val="20"/>
              </w:rPr>
              <w:t xml:space="preserve"> статьи 5-3 Закона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Токаева К.К. народу Казахстана от 1 сентября 2023 года "Экономический курс Справедливого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Национальный план развития</w:t>
            </w:r>
            <w:r>
              <w:rPr>
                <w:rFonts w:ascii="Times New Roman"/>
                <w:b w:val="false"/>
                <w:i w:val="false"/>
                <w:color w:val="000000"/>
                <w:sz w:val="20"/>
              </w:rPr>
              <w:t xml:space="preserve"> Республики Казахстан до 2029 года, утвержденный Указом Президента Республики Казахстан от 30 июля 2024 года № 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 (далее – МНВО)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некоммерческого акционерного общества "Карагандинский университет имени академика Е.А. Букетова" в исследовательский университет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 Интеграция научной деятельности и образовательного процесса на всех уровнях высшего и послевузовского образования;</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равенства и доступности качественного образования, привлечение талантливой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проектов в области фундаментальной и прикладной науки, которые позволят поднять интеллектуальный потенциал страны, повысить международный авторитет научных школ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в экономику региона результатов прикладных исследований ученых некоммерческого акционерного общества "Карагандинский университет имени академика Е.А. Букетова" в виде продажи патентов, лицензий, разработки стартап-проектов;</w:t>
            </w:r>
          </w:p>
          <w:p>
            <w:pPr>
              <w:spacing w:after="20"/>
              <w:ind w:left="20"/>
              <w:jc w:val="both"/>
            </w:pPr>
            <w:r>
              <w:rPr>
                <w:rFonts w:ascii="Times New Roman"/>
                <w:b w:val="false"/>
                <w:i w:val="false"/>
                <w:color w:val="000000"/>
                <w:sz w:val="20"/>
              </w:rPr>
              <w:t>
5) увеличение вклада некоммерческого акционерного общества "Карагандинский университет имени академика Е.А. Букетова" в развитие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Источниками финансирования мероприятий, предусмотренных Программой развития, являются собственные средства некоммерческого акционерного общества "Карагандинский университет имени академика Е.А. Букетова" и привлеченные бюджетные инвестиции</w:t>
            </w:r>
          </w:p>
        </w:tc>
      </w:tr>
    </w:tbl>
    <w:bookmarkStart w:name="z20" w:id="9"/>
    <w:p>
      <w:pPr>
        <w:spacing w:after="0"/>
        <w:ind w:left="0"/>
        <w:jc w:val="both"/>
      </w:pPr>
      <w:r>
        <w:rPr>
          <w:rFonts w:ascii="Times New Roman"/>
          <w:b w:val="false"/>
          <w:i w:val="false"/>
          <w:color w:val="000000"/>
          <w:sz w:val="28"/>
        </w:rPr>
        <w:t>
      Программа развития некоммерческого акционерного общества "Карагандинский университет имени академика Е.А. Букетова" (далее – КарУ) разработана в соответствии с Концепцией развития высшего образования и науки в Республике Казахстан на 2023 – 2029 годы, утвержденной постановлением Правительства Республики Казахстан от 28 марта 2023 года № 248 (далее – Концепция).</w:t>
      </w:r>
    </w:p>
    <w:bookmarkEnd w:id="9"/>
    <w:bookmarkStart w:name="z21" w:id="10"/>
    <w:p>
      <w:pPr>
        <w:spacing w:after="0"/>
        <w:ind w:left="0"/>
        <w:jc w:val="both"/>
      </w:pPr>
      <w:r>
        <w:rPr>
          <w:rFonts w:ascii="Times New Roman"/>
          <w:b w:val="false"/>
          <w:i w:val="false"/>
          <w:color w:val="000000"/>
          <w:sz w:val="28"/>
        </w:rPr>
        <w:t>
      КарУ выступает как лидер в сфере высшего и послевузовского образования региона, активно способствуя научно-техническому и социально-экономическому развитию Карагандинского региона. КарУ занимается созданием условий для гармоничного сочетания академической деятельности и инновационных проектов, направленных на подготовку квалифицированных специалистов, способных внести вклад в прогресс региона и страны.</w:t>
      </w:r>
    </w:p>
    <w:bookmarkEnd w:id="10"/>
    <w:bookmarkStart w:name="z22" w:id="11"/>
    <w:p>
      <w:pPr>
        <w:spacing w:after="0"/>
        <w:ind w:left="0"/>
        <w:jc w:val="both"/>
      </w:pPr>
      <w:r>
        <w:rPr>
          <w:rFonts w:ascii="Times New Roman"/>
          <w:b w:val="false"/>
          <w:i w:val="false"/>
          <w:color w:val="000000"/>
          <w:sz w:val="28"/>
        </w:rPr>
        <w:t xml:space="preserve">
      Программа развития КарУ предусматривает устойчивое развитие КарУ как классического исследовательского университета, обеспечивающего подготовку кадров для отраслей экономики и социальной сферы по приоритетным направлениям научно-технологического развития северного и центрального регионов страны и Казахстана в целом, развитие и реализацию прорывных научных исследований и разработок, новых социально-гуманитарных и творческих проектов. </w:t>
      </w:r>
    </w:p>
    <w:bookmarkEnd w:id="11"/>
    <w:bookmarkStart w:name="z23" w:id="12"/>
    <w:p>
      <w:pPr>
        <w:spacing w:after="0"/>
        <w:ind w:left="0"/>
        <w:jc w:val="both"/>
      </w:pPr>
      <w:r>
        <w:rPr>
          <w:rFonts w:ascii="Times New Roman"/>
          <w:b w:val="false"/>
          <w:i w:val="false"/>
          <w:color w:val="000000"/>
          <w:sz w:val="28"/>
        </w:rPr>
        <w:t xml:space="preserve">
      Ученые КарУ будут проводить фундаментальные и прикладные исследования по приоритетным направлениям, определенным государственной политикой в области науки и образования, и обеспечивать лидирующие позиции КарУ среди казахстанских организаций высшего и (или) послевузовского образования (далее – ОВПО) по показателям научной активности и результатам трансферта технологий в реальный сектор экономики. КарУ продолжит развивать сотрудничество с предприятиями в рамках контрактных исследований и коммерциализации научных разработок, в том числе совместно с крупными государственными компаниями и научными институтами. </w:t>
      </w:r>
    </w:p>
    <w:bookmarkEnd w:id="12"/>
    <w:bookmarkStart w:name="z24" w:id="13"/>
    <w:p>
      <w:pPr>
        <w:spacing w:after="0"/>
        <w:ind w:left="0"/>
        <w:jc w:val="both"/>
      </w:pPr>
      <w:r>
        <w:rPr>
          <w:rFonts w:ascii="Times New Roman"/>
          <w:b w:val="false"/>
          <w:i w:val="false"/>
          <w:color w:val="000000"/>
          <w:sz w:val="28"/>
        </w:rPr>
        <w:t xml:space="preserve">
      КарУ продолжит развитие всех уровней образования, направленное на освоение выпускниками фундаментальных знаний, отражающих современный уровень науки, формирование у них творческих навыков исследователя, компетенций цифровой экономики и предпринимательских качеств, позволяющих содействовать внедрению результатов исследований в экономику региона и социальную сферу. </w:t>
      </w:r>
    </w:p>
    <w:bookmarkEnd w:id="13"/>
    <w:bookmarkStart w:name="z25" w:id="14"/>
    <w:p>
      <w:pPr>
        <w:spacing w:after="0"/>
        <w:ind w:left="0"/>
        <w:jc w:val="both"/>
      </w:pPr>
      <w:r>
        <w:rPr>
          <w:rFonts w:ascii="Times New Roman"/>
          <w:b w:val="false"/>
          <w:i w:val="false"/>
          <w:color w:val="000000"/>
          <w:sz w:val="28"/>
        </w:rPr>
        <w:t>
      Приоритетом станет подготовка высококвалифицированных кадров по образовательным программам магистратуры и докторантуры PhD.</w:t>
      </w:r>
    </w:p>
    <w:bookmarkEnd w:id="14"/>
    <w:bookmarkStart w:name="z26" w:id="15"/>
    <w:p>
      <w:pPr>
        <w:spacing w:after="0"/>
        <w:ind w:left="0"/>
        <w:jc w:val="both"/>
      </w:pPr>
      <w:r>
        <w:rPr>
          <w:rFonts w:ascii="Times New Roman"/>
          <w:b w:val="false"/>
          <w:i w:val="false"/>
          <w:color w:val="000000"/>
          <w:sz w:val="28"/>
        </w:rPr>
        <w:t xml:space="preserve">
      КарУ – крупный научно-методический центр подготовки высококвалифицированных кадров для всех секторов экономики. В этих целях будет реализовываться широкий спектр образовательных программ бакалавриата, магистратуры, докторантуры. В КарУ будут продолжены разработка и реализация образовательных программ, обеспечивающих подготовку специалистов в соответствии с приоритетными направлениями стратегии научно-технологического развития Республики Казахстан, а также модернизация образовательных программ в соответствии с требованиями развития цифровой экономики. </w:t>
      </w:r>
    </w:p>
    <w:bookmarkEnd w:id="15"/>
    <w:bookmarkStart w:name="z27" w:id="16"/>
    <w:p>
      <w:pPr>
        <w:spacing w:after="0"/>
        <w:ind w:left="0"/>
        <w:jc w:val="both"/>
      </w:pPr>
      <w:r>
        <w:rPr>
          <w:rFonts w:ascii="Times New Roman"/>
          <w:b w:val="false"/>
          <w:i w:val="false"/>
          <w:color w:val="000000"/>
          <w:sz w:val="28"/>
        </w:rPr>
        <w:t>
      КарУ обладает сбалансированным креативным кадровым составом, при этом политика привлечения и сохранения кадров на основе создания развитой системы мотивации станет основой управления персоналом в КарУ.</w:t>
      </w:r>
    </w:p>
    <w:bookmarkEnd w:id="16"/>
    <w:bookmarkStart w:name="z28" w:id="17"/>
    <w:p>
      <w:pPr>
        <w:spacing w:after="0"/>
        <w:ind w:left="0"/>
        <w:jc w:val="both"/>
      </w:pPr>
      <w:r>
        <w:rPr>
          <w:rFonts w:ascii="Times New Roman"/>
          <w:b w:val="false"/>
          <w:i w:val="false"/>
          <w:color w:val="000000"/>
          <w:sz w:val="28"/>
        </w:rPr>
        <w:t>
      В процессе трансформации в исследовательский университет будет достигнута синергия образовательной и научной деятельности, что приведет к усилению следующих ключевых аспектов, определяющих социально-экономическую ценность КарУ:</w:t>
      </w:r>
    </w:p>
    <w:bookmarkEnd w:id="17"/>
    <w:bookmarkStart w:name="z29" w:id="18"/>
    <w:p>
      <w:pPr>
        <w:spacing w:after="0"/>
        <w:ind w:left="0"/>
        <w:jc w:val="both"/>
      </w:pPr>
      <w:r>
        <w:rPr>
          <w:rFonts w:ascii="Times New Roman"/>
          <w:b w:val="false"/>
          <w:i w:val="false"/>
          <w:color w:val="000000"/>
          <w:sz w:val="28"/>
        </w:rPr>
        <w:t>
      1) повышение качества образования: студенты получат доступ к передовым исследованиям и инновационным методам обучения, что повысит их квалификацию и конкурентоспособность на рынке труда;</w:t>
      </w:r>
    </w:p>
    <w:bookmarkEnd w:id="18"/>
    <w:bookmarkStart w:name="z30" w:id="19"/>
    <w:p>
      <w:pPr>
        <w:spacing w:after="0"/>
        <w:ind w:left="0"/>
        <w:jc w:val="both"/>
      </w:pPr>
      <w:r>
        <w:rPr>
          <w:rFonts w:ascii="Times New Roman"/>
          <w:b w:val="false"/>
          <w:i w:val="false"/>
          <w:color w:val="000000"/>
          <w:sz w:val="28"/>
        </w:rPr>
        <w:t>
      2) развитие научных исследований: КарУ сможет проводить более масштабные и значимые исследования, привлекая внешнее финансирование и укрепляя свои научные школы;</w:t>
      </w:r>
    </w:p>
    <w:bookmarkEnd w:id="19"/>
    <w:bookmarkStart w:name="z31" w:id="20"/>
    <w:p>
      <w:pPr>
        <w:spacing w:after="0"/>
        <w:ind w:left="0"/>
        <w:jc w:val="both"/>
      </w:pPr>
      <w:r>
        <w:rPr>
          <w:rFonts w:ascii="Times New Roman"/>
          <w:b w:val="false"/>
          <w:i w:val="false"/>
          <w:color w:val="000000"/>
          <w:sz w:val="28"/>
        </w:rPr>
        <w:t>
      3) укрепление связей с промышленностью: интеграция науки и образования способствует разработке инновационных решений и технологий, востребованных на рынке, что укрепляет партнерство с предприятиями и организациями;</w:t>
      </w:r>
    </w:p>
    <w:bookmarkEnd w:id="20"/>
    <w:bookmarkStart w:name="z32" w:id="21"/>
    <w:p>
      <w:pPr>
        <w:spacing w:after="0"/>
        <w:ind w:left="0"/>
        <w:jc w:val="both"/>
      </w:pPr>
      <w:r>
        <w:rPr>
          <w:rFonts w:ascii="Times New Roman"/>
          <w:b w:val="false"/>
          <w:i w:val="false"/>
          <w:color w:val="000000"/>
          <w:sz w:val="28"/>
        </w:rPr>
        <w:t>
      4) лидирующие позиции в рейтингах университетов: улучшение позиций КарУ в глобальных и национальных рейтингах благодаря высокому уровню научных исследований и образовательных достижений;</w:t>
      </w:r>
    </w:p>
    <w:bookmarkEnd w:id="21"/>
    <w:bookmarkStart w:name="z33" w:id="22"/>
    <w:p>
      <w:pPr>
        <w:spacing w:after="0"/>
        <w:ind w:left="0"/>
        <w:jc w:val="both"/>
      </w:pPr>
      <w:r>
        <w:rPr>
          <w:rFonts w:ascii="Times New Roman"/>
          <w:b w:val="false"/>
          <w:i w:val="false"/>
          <w:color w:val="000000"/>
          <w:sz w:val="28"/>
        </w:rPr>
        <w:t>
      5) привлекательность университета для иностранных граждан и международных партнеров: расширение сотрудничества с зарубежными вузами и научными организациями, укрепление позиций КарУ как международного образовательного и научного центра, активное участие в международных научных проектах и программах, что повысит престиж и видимость КарУ на мировой арене;</w:t>
      </w:r>
    </w:p>
    <w:bookmarkEnd w:id="22"/>
    <w:bookmarkStart w:name="z34" w:id="23"/>
    <w:p>
      <w:pPr>
        <w:spacing w:after="0"/>
        <w:ind w:left="0"/>
        <w:jc w:val="both"/>
      </w:pPr>
      <w:r>
        <w:rPr>
          <w:rFonts w:ascii="Times New Roman"/>
          <w:b w:val="false"/>
          <w:i w:val="false"/>
          <w:color w:val="000000"/>
          <w:sz w:val="28"/>
        </w:rPr>
        <w:t>
      6) социальная ответственность: вклад КарУ в социально-экономическое развитие региона и страны усилится за счет реализации прикладных исследований и проектов, направленных на решение актуальных проблем общества, поддержки молодых ученых, студентов и волонтеров, вовлечения их в научные, образовательные и социальные проекты.</w:t>
      </w:r>
    </w:p>
    <w:bookmarkEnd w:id="23"/>
    <w:bookmarkStart w:name="z35" w:id="24"/>
    <w:p>
      <w:pPr>
        <w:spacing w:after="0"/>
        <w:ind w:left="0"/>
        <w:jc w:val="both"/>
      </w:pPr>
      <w:r>
        <w:rPr>
          <w:rFonts w:ascii="Times New Roman"/>
          <w:b w:val="false"/>
          <w:i w:val="false"/>
          <w:color w:val="000000"/>
          <w:sz w:val="28"/>
        </w:rPr>
        <w:t>
      Цель и задачи, заявленные в плане развития КарУ, фокусируются на совмещении научных исследований с практической производственной деятельностью и повышении уровня высшего образования. Такой подход будет способствовать ускорению устойчивого экономического развития и прогресса Карагандинского региона, занимающего ключевую позицию в промышленном, коммерческом и культурном ландшафте страны.</w:t>
      </w:r>
    </w:p>
    <w:bookmarkEnd w:id="24"/>
    <w:p>
      <w:pPr>
        <w:spacing w:after="0"/>
        <w:ind w:left="0"/>
        <w:jc w:val="both"/>
      </w:pPr>
      <w:r>
        <w:rPr>
          <w:rFonts w:ascii="Times New Roman"/>
          <w:b/>
          <w:i w:val="false"/>
          <w:color w:val="000000"/>
          <w:sz w:val="28"/>
        </w:rPr>
        <w:t>Раздел 2. Обзор текущего состояния некоммерческого акционерного общества "Карагандинский университет имени академика Е.А. Букетова", включая его достижения, проблемы и вызовы</w:t>
      </w:r>
    </w:p>
    <w:p>
      <w:pPr>
        <w:spacing w:after="0"/>
        <w:ind w:left="0"/>
        <w:jc w:val="both"/>
      </w:pPr>
      <w:r>
        <w:rPr>
          <w:rFonts w:ascii="Times New Roman"/>
          <w:b/>
          <w:i w:val="false"/>
          <w:color w:val="000000"/>
          <w:sz w:val="28"/>
        </w:rPr>
        <w:t>Подраздел 1. Анализ текущего состояния</w:t>
      </w:r>
    </w:p>
    <w:bookmarkStart w:name="z38" w:id="25"/>
    <w:p>
      <w:pPr>
        <w:spacing w:after="0"/>
        <w:ind w:left="0"/>
        <w:jc w:val="both"/>
      </w:pPr>
      <w:r>
        <w:rPr>
          <w:rFonts w:ascii="Times New Roman"/>
          <w:b w:val="false"/>
          <w:i w:val="false"/>
          <w:color w:val="000000"/>
          <w:sz w:val="28"/>
        </w:rPr>
        <w:t xml:space="preserve">
      КарУ является одним из крупнейших многопрофильных университетов Казахстана и осуществляет подготовку бакалавров по 28 направлениям, магистров – по 24 направлениям и докторов PhD – по 10 направлениям подготовки, в настоящее время на 12 факультетах обучаются порядка 14 тысяч студентов, магистрантов и докторантов PhD. КарУ имеет институциональную и специализированную аккредитацию более 140 образовательных программ бакалавриата, магистратуры и докторантуры PhD. </w:t>
      </w:r>
    </w:p>
    <w:bookmarkEnd w:id="25"/>
    <w:bookmarkStart w:name="z39" w:id="26"/>
    <w:p>
      <w:pPr>
        <w:spacing w:after="0"/>
        <w:ind w:left="0"/>
        <w:jc w:val="both"/>
      </w:pPr>
      <w:r>
        <w:rPr>
          <w:rFonts w:ascii="Times New Roman"/>
          <w:b w:val="false"/>
          <w:i w:val="false"/>
          <w:color w:val="000000"/>
          <w:sz w:val="28"/>
        </w:rPr>
        <w:t>
      Провозглашая основные принципы Болонской декларации, КарУ базируется на общепринятых трендах всей образовательной среды и призван решать важные цели, связанные с гуманизацией образования и приоритетом общечеловеческих ценностей в образовании, интернационализацией и в целом глобализацией образования.</w:t>
      </w:r>
    </w:p>
    <w:bookmarkEnd w:id="26"/>
    <w:bookmarkStart w:name="z40" w:id="27"/>
    <w:p>
      <w:pPr>
        <w:spacing w:after="0"/>
        <w:ind w:left="0"/>
        <w:jc w:val="both"/>
      </w:pPr>
      <w:r>
        <w:rPr>
          <w:rFonts w:ascii="Times New Roman"/>
          <w:b w:val="false"/>
          <w:i w:val="false"/>
          <w:color w:val="000000"/>
          <w:sz w:val="28"/>
        </w:rPr>
        <w:t>
      В содержании учебных планов и программ реализуется мультидисциплинарный и междисциплинарный подход, отдельные модули дисциплин читаются на английском языке. Образовательные программы докторантуры "Химия" и магистратуры "Иностранный язык: два иностранных языка", "Иностранная филология", "Мировая экономика" полностью перешли на английский язык преподавания.</w:t>
      </w:r>
    </w:p>
    <w:bookmarkEnd w:id="27"/>
    <w:bookmarkStart w:name="z41" w:id="28"/>
    <w:p>
      <w:pPr>
        <w:spacing w:after="0"/>
        <w:ind w:left="0"/>
        <w:jc w:val="both"/>
      </w:pPr>
      <w:r>
        <w:rPr>
          <w:rFonts w:ascii="Times New Roman"/>
          <w:b w:val="false"/>
          <w:i w:val="false"/>
          <w:color w:val="000000"/>
          <w:sz w:val="28"/>
        </w:rPr>
        <w:t>
      Особое внимание в КарУ уделяется проектированию и экспертизе новых и инновационных образовательных программ, в том числе при совместной коллаборации с ведущими отечественными и зарубежными университетами.</w:t>
      </w:r>
    </w:p>
    <w:bookmarkEnd w:id="28"/>
    <w:bookmarkStart w:name="z42" w:id="29"/>
    <w:p>
      <w:pPr>
        <w:spacing w:after="0"/>
        <w:ind w:left="0"/>
        <w:jc w:val="both"/>
      </w:pPr>
      <w:r>
        <w:rPr>
          <w:rFonts w:ascii="Times New Roman"/>
          <w:b w:val="false"/>
          <w:i w:val="false"/>
          <w:color w:val="000000"/>
          <w:sz w:val="28"/>
        </w:rPr>
        <w:t xml:space="preserve">
      В КарУ успешно реализуются трехъязычные программы, программы двойных квалификаций, обучение в рамках формального, неформального и информального образования, 49 % образовательных программ реализуется с применением дистанционных образовательных технологий. </w:t>
      </w:r>
    </w:p>
    <w:bookmarkEnd w:id="29"/>
    <w:bookmarkStart w:name="z43" w:id="30"/>
    <w:p>
      <w:pPr>
        <w:spacing w:after="0"/>
        <w:ind w:left="0"/>
        <w:jc w:val="both"/>
      </w:pPr>
      <w:r>
        <w:rPr>
          <w:rFonts w:ascii="Times New Roman"/>
          <w:b w:val="false"/>
          <w:i w:val="false"/>
          <w:color w:val="000000"/>
          <w:sz w:val="28"/>
        </w:rPr>
        <w:t xml:space="preserve">
      КарУ имеет партнерские отношения с зарубежными университетами и научными центрами, входит в состав авторитетных ассоциаций в рамках более 150 договоров, соглашений, меморандумов. В рамках интернационализации образовательного процесса в КарУ реализуется академическая мобильность студентов и профессорско-преподавательского состава (далее – ППС) с зарубежными партнерами. Растет привлекательность КарУ среди иностранных граждан. Ежегодно студентами КарУ становятся порядка 60 граждан из Азербайджана, Армении, Германии, Китая, Монголии, России, Украины, Узбекистана и других стран. Кроме того, в КарУ ежегодно обучаются порядка 100 студентов в рамках программ академической мобильности, рассчитанных на 1-2 семестра. Это граждане Китая, Италии, Венгрии, России, Узбекистана, Украины. </w:t>
      </w:r>
    </w:p>
    <w:bookmarkEnd w:id="30"/>
    <w:bookmarkStart w:name="z44" w:id="31"/>
    <w:p>
      <w:pPr>
        <w:spacing w:after="0"/>
        <w:ind w:left="0"/>
        <w:jc w:val="both"/>
      </w:pPr>
      <w:r>
        <w:rPr>
          <w:rFonts w:ascii="Times New Roman"/>
          <w:b w:val="false"/>
          <w:i w:val="false"/>
          <w:color w:val="000000"/>
          <w:sz w:val="28"/>
        </w:rPr>
        <w:t>
      В рамках реализации Программы "Привлечение зарубежных ученых за счет республиканского бюджета" за три года с 2020 по 2023 годы были привлечены 16 иностранных специалистов из таких стран, как Болгария, Финляндия, Россия, Италия, Эстония и т.д.</w:t>
      </w:r>
    </w:p>
    <w:bookmarkEnd w:id="31"/>
    <w:bookmarkStart w:name="z45" w:id="32"/>
    <w:p>
      <w:pPr>
        <w:spacing w:after="0"/>
        <w:ind w:left="0"/>
        <w:jc w:val="both"/>
      </w:pPr>
      <w:r>
        <w:rPr>
          <w:rFonts w:ascii="Times New Roman"/>
          <w:b w:val="false"/>
          <w:i w:val="false"/>
          <w:color w:val="000000"/>
          <w:sz w:val="28"/>
        </w:rPr>
        <w:t>
      На основании соглашений о сотрудничестве на безвозмездной основе в рамках обмена опытом и чтения лекций были привлечены 33 ученых и преподавателей из университетов-партнеров таких стран, как США, Финляндия, Польша, Венгрия, Греция, Россия, Турция, Кыргызстан и т.д.</w:t>
      </w:r>
    </w:p>
    <w:bookmarkEnd w:id="32"/>
    <w:bookmarkStart w:name="z46" w:id="33"/>
    <w:p>
      <w:pPr>
        <w:spacing w:after="0"/>
        <w:ind w:left="0"/>
        <w:jc w:val="both"/>
      </w:pPr>
      <w:r>
        <w:rPr>
          <w:rFonts w:ascii="Times New Roman"/>
          <w:b w:val="false"/>
          <w:i w:val="false"/>
          <w:color w:val="000000"/>
          <w:sz w:val="28"/>
        </w:rPr>
        <w:t xml:space="preserve">
      Также в период с 2020 по 2023 годы была реализована программа привлечения зарубежных ученых за счет средств КарУ и были привлечены 98 ученых таких стран, как Узбекистан, Великобритания, Украина, Беларусь, Финляндия, Польша, Венгрия, Греция, Россия, Турция, Кыргызстан и т.д. </w:t>
      </w:r>
    </w:p>
    <w:bookmarkEnd w:id="33"/>
    <w:bookmarkStart w:name="z47" w:id="34"/>
    <w:p>
      <w:pPr>
        <w:spacing w:after="0"/>
        <w:ind w:left="0"/>
        <w:jc w:val="both"/>
      </w:pPr>
      <w:r>
        <w:rPr>
          <w:rFonts w:ascii="Times New Roman"/>
          <w:b w:val="false"/>
          <w:i w:val="false"/>
          <w:color w:val="000000"/>
          <w:sz w:val="28"/>
        </w:rPr>
        <w:t xml:space="preserve">
      Согласно рейтингу ОВПО Казахстана КарУ на протяжении последних лет занимает передовые места в национальных рейтингах Независимого агентства по обеспечению качества в образовании и Независимого агентства аккредитации и рейтинга, входит в мировой рейтинг QS World University Rankings, занимая позицию 851+, региональный рейтинг QS Asia, занимая 206 позицию. </w:t>
      </w:r>
    </w:p>
    <w:bookmarkEnd w:id="34"/>
    <w:bookmarkStart w:name="z48" w:id="35"/>
    <w:p>
      <w:pPr>
        <w:spacing w:after="0"/>
        <w:ind w:left="0"/>
        <w:jc w:val="both"/>
      </w:pPr>
      <w:r>
        <w:rPr>
          <w:rFonts w:ascii="Times New Roman"/>
          <w:b w:val="false"/>
          <w:i w:val="false"/>
          <w:color w:val="000000"/>
          <w:sz w:val="28"/>
        </w:rPr>
        <w:t xml:space="preserve">
      КарУ входит в число лидеров отечественной высшей школы. Общая численность преподавателей КарУ составляет 921 человек, из которых 62 доктора наук, 277 кандидатов наук, 117 докторов философии (PhD) и 447 магистров наук, 47 обладателей международной стипендии "Болашак". Преподаватели КарУ 196 раз становились обладателями звания "Лучший преподаватель вуза" и 7 раз – "Лучший научный сотрудник". Среди преподавателей КарУ – члены-корреспонденты Национальной академии наук Республики Казахстан, лауреаты государственных научных стипендий для научных специалистов, внесших выдающийся вклад в развитие науки и техники, лауреаты государственных научных стипендий для талантливых молодых учҰных. </w:t>
      </w:r>
    </w:p>
    <w:bookmarkEnd w:id="35"/>
    <w:bookmarkStart w:name="z49" w:id="36"/>
    <w:p>
      <w:pPr>
        <w:spacing w:after="0"/>
        <w:ind w:left="0"/>
        <w:jc w:val="both"/>
      </w:pPr>
      <w:r>
        <w:rPr>
          <w:rFonts w:ascii="Times New Roman"/>
          <w:b w:val="false"/>
          <w:i w:val="false"/>
          <w:color w:val="000000"/>
          <w:sz w:val="28"/>
        </w:rPr>
        <w:t>
      В научной инфраструктуре КарУ функционирует 20 научно-исследовательских институтов, научных центров и научных лабораторий: Сарыаркинский археологический институт, Институт молекулярной нанофотоники, Институт исследований цифровой экономики, Институт правовых исследований и государствоведения, центр этнокультурных и историко-антропологических исследований, научно-исследовательский центр "Альтернативная энергетика", лаборатория инженерного профиля "Физико-химические методы исследования", научно-исследовательская лаборатория комплексного изучения религиозной ситуации в Казахстане, научная лаборатория "Функциональные материалы и технологии зеленой энергетики", научно-образовательные лаборатории "Синтез и исследование биологически активных веществ и фармацевтических технологий", "Деструктивная гидрогенизация твердого и тяжелого углеводородного сырья", лаборатория прикладной биотехнологии и биоинженерии и другие. Проводятся исследования фундаментального и прикладного характера по актуальным направлениям и проблемам нанотехнологий и физики твҰрдого тела; синтеза новых материалов; мониторинга состояния биологических систем; социологии; системы высшего и послевузовского образования; рыночных отношений; юриспруденции; археологии.</w:t>
      </w:r>
    </w:p>
    <w:bookmarkEnd w:id="36"/>
    <w:bookmarkStart w:name="z50" w:id="37"/>
    <w:p>
      <w:pPr>
        <w:spacing w:after="0"/>
        <w:ind w:left="0"/>
        <w:jc w:val="both"/>
      </w:pPr>
      <w:r>
        <w:rPr>
          <w:rFonts w:ascii="Times New Roman"/>
          <w:b w:val="false"/>
          <w:i w:val="false"/>
          <w:color w:val="000000"/>
          <w:sz w:val="28"/>
        </w:rPr>
        <w:t>
      В КарУ реализуется 112 научных проектов на общую сумму 1,6 миллиарда тенге, из них 57 научных проектов в рамках грантового финансирования и 2 научно-технические программы в рамках программно-целевого финансирования, в ходе реализации которых решаются задачи по созданию устойчивой экосистемы развития фундаментальных и прикладных исследований, развитию "зеленых" технологий, искусственного интеллекта, социальной адаптации человека в условиях цифровизации общества и окружающего мира.</w:t>
      </w:r>
    </w:p>
    <w:bookmarkEnd w:id="37"/>
    <w:bookmarkStart w:name="z51" w:id="38"/>
    <w:p>
      <w:pPr>
        <w:spacing w:after="0"/>
        <w:ind w:left="0"/>
        <w:jc w:val="both"/>
      </w:pPr>
      <w:r>
        <w:rPr>
          <w:rFonts w:ascii="Times New Roman"/>
          <w:b w:val="false"/>
          <w:i w:val="false"/>
          <w:color w:val="000000"/>
          <w:sz w:val="28"/>
        </w:rPr>
        <w:t xml:space="preserve">
      Также имеется три "мегагранта" на 2023 – 2025 годы на общую сумму свыше 928 миллионов тенге. Первый проект BR21882309 "Создание новых органических люминофоров ТАDF на основе </w:t>
      </w:r>
      <w:r>
        <w:rPr>
          <w:rFonts w:ascii="Times New Roman"/>
          <w:b w:val="false"/>
          <w:i w:val="false"/>
          <w:color w:val="000000"/>
          <w:sz w:val="28"/>
        </w:rPr>
        <w:t>p</w:t>
      </w:r>
      <w:r>
        <w:rPr>
          <w:rFonts w:ascii="Times New Roman"/>
          <w:b w:val="false"/>
          <w:i w:val="false"/>
          <w:color w:val="000000"/>
          <w:sz w:val="28"/>
        </w:rPr>
        <w:t>-сопряженных азуленовых со-олигомеров для органических светоизлучающих диодов (OLED) третьего поколения" был поддержан Комитетом науки МНВО и получил финансирование в размере 298741800 тенге. Второй проект BR21882166 "Научно-практические основы воспроизводства, сохранения, использования плодово-ягодных растений природной флоры Западного, Восточного, Центрального и Северного Казахстана для обеспечения продовольственной безопасности" был финансирован РГП на ПХВ "Мангышлакский экспериментальный ботанический сад" Комитета науки МНВО на сумму 130000000 тенге. Третий проект BR21882302 "Казахстанский социум в условиях цифровой трансформации: перспективы и риски" получил поддержку от РГП на ПХВ "Институт философии, политологии и религиоведения" Комитета науки МНВО и финансирование в размере 499515248 тенге. Такое внушительное финансирование подчеркивает значимость и актуальность исследований, проводимых в КарУ, и способствует его развитию как ведущего научно-исследовательского центра.</w:t>
      </w:r>
    </w:p>
    <w:bookmarkEnd w:id="38"/>
    <w:bookmarkStart w:name="z52" w:id="39"/>
    <w:p>
      <w:pPr>
        <w:spacing w:after="0"/>
        <w:ind w:left="0"/>
        <w:jc w:val="both"/>
      </w:pPr>
      <w:r>
        <w:rPr>
          <w:rFonts w:ascii="Times New Roman"/>
          <w:b w:val="false"/>
          <w:i w:val="false"/>
          <w:color w:val="000000"/>
          <w:sz w:val="28"/>
        </w:rPr>
        <w:t>
      Помимо этого КарУ ежегодно проводит конкурс на внутривузовский грант для научно-исследовательских работ и конкурс Совета молодых ученых КарУ "Новое имя в науке" для молодых ученых. В 2023 году КарУ выделил более 57 миллионов тенге из собственных средств на эти гранты, поддерживая тем самым научные исследования и развитие молодых ученых. В результате конкурсного отбора было предоставлено 12 грантов для проведения научно-технических прикладных исследований и 5 грантов от Совета молодых ученых КарУ в рамках программы "Новое имя в науке".</w:t>
      </w:r>
    </w:p>
    <w:bookmarkEnd w:id="39"/>
    <w:bookmarkStart w:name="z53" w:id="40"/>
    <w:p>
      <w:pPr>
        <w:spacing w:after="0"/>
        <w:ind w:left="0"/>
        <w:jc w:val="both"/>
      </w:pPr>
      <w:r>
        <w:rPr>
          <w:rFonts w:ascii="Times New Roman"/>
          <w:b w:val="false"/>
          <w:i w:val="false"/>
          <w:color w:val="000000"/>
          <w:sz w:val="28"/>
        </w:rPr>
        <w:t>
      В Совет молодых ученых КарУ входят 359 молодых преподавателей, включая 35 остепенҰнных преподавателей, 155 докторантов и 15 постдокторантов. На факультетах КарУ функционирует 38 научных кружков, организованных научной ассоциацией студентов и магистрантов, в которых исследовательской работой занимаются 1867 студентов.</w:t>
      </w:r>
    </w:p>
    <w:bookmarkEnd w:id="40"/>
    <w:bookmarkStart w:name="z54" w:id="41"/>
    <w:p>
      <w:pPr>
        <w:spacing w:after="0"/>
        <w:ind w:left="0"/>
        <w:jc w:val="both"/>
      </w:pPr>
      <w:r>
        <w:rPr>
          <w:rFonts w:ascii="Times New Roman"/>
          <w:b w:val="false"/>
          <w:i w:val="false"/>
          <w:color w:val="000000"/>
          <w:sz w:val="28"/>
        </w:rPr>
        <w:t>
      В КарУ функционирует 11 диссертационных советов по 12 образовательным программам: 8D05101 – "Биология", 8D05401 – "Математика", 8D01301 – "Педагогика и методика начального обучения", 8D01101 – "Педагогика и психология", 8D02301 – "Филология", 8D01702 – "Иностранный язык: два иностранных языка", 8D04101 – "Экономика", 8D05301 – "Химия", 8D05302 – "Физика", 8D02202 – "История", 8D01701 – "Казахский язык и литература", 8D05303 – "Теплофизика и теоретическая теплотехника", которые занимаются защитой диссертаций на соискание ученой степени доктора философии (PhD) и доктора по профилю. Данные диссертационные советы не только обеспечивают строгую оценку научных работ, но и способствуют повышению качества образовательного процесса и научных исследований в КарУ. Наличие диссертационных советов также способствует увеличению количества высококвалифицированных преподавателей и научных сотрудников, что в свою очередь повышает репутацию университета как ведущего научно-образовательного центра.</w:t>
      </w:r>
    </w:p>
    <w:bookmarkEnd w:id="41"/>
    <w:bookmarkStart w:name="z55" w:id="42"/>
    <w:p>
      <w:pPr>
        <w:spacing w:after="0"/>
        <w:ind w:left="0"/>
        <w:jc w:val="both"/>
      </w:pPr>
      <w:r>
        <w:rPr>
          <w:rFonts w:ascii="Times New Roman"/>
          <w:b w:val="false"/>
          <w:i w:val="false"/>
          <w:color w:val="000000"/>
          <w:sz w:val="28"/>
        </w:rPr>
        <w:t>
      В КарУ издается 10 научных журналов, в том числе "Вестник Карагандинского университета", в которых активно публикуются на казахском, английском, русском языках ведущие учҰные Казахстана и зарубежных стран. Серии журнала "Вестник Карагандинского университета" – "Химия", "Физика" и "Математика" – вошли в основную базу Web of Science Core Collection Clarivate Analytics. В 2019 году издаваемый КарУ на английском языке журнал "Eurasian Physical Technical Journal" включен в базу данных Scopus по четырем научным направлениям и по направлениям Energy и Engineering входит в квартиль Q3. Также в базу Scopus входят журналы Bulletin of the University of Karaganda – Chemistry и Bulletin of the Karaganda University – Mathematics.</w:t>
      </w:r>
    </w:p>
    <w:bookmarkEnd w:id="42"/>
    <w:bookmarkStart w:name="z56" w:id="43"/>
    <w:p>
      <w:pPr>
        <w:spacing w:after="0"/>
        <w:ind w:left="0"/>
        <w:jc w:val="both"/>
      </w:pPr>
      <w:r>
        <w:rPr>
          <w:rFonts w:ascii="Times New Roman"/>
          <w:b w:val="false"/>
          <w:i w:val="false"/>
          <w:color w:val="000000"/>
          <w:sz w:val="28"/>
        </w:rPr>
        <w:t>
      В целях реализации кадровой политики в КарУ разработаны квалификационные профессиональные стандарты ППС, концепция развития кадрового потенциала, положение о кадровом резерве, положение об обучении и повышении квалификации работников КарУ.</w:t>
      </w:r>
    </w:p>
    <w:bookmarkEnd w:id="43"/>
    <w:bookmarkStart w:name="z57" w:id="44"/>
    <w:p>
      <w:pPr>
        <w:spacing w:after="0"/>
        <w:ind w:left="0"/>
        <w:jc w:val="both"/>
      </w:pPr>
      <w:r>
        <w:rPr>
          <w:rFonts w:ascii="Times New Roman"/>
          <w:b w:val="false"/>
          <w:i w:val="false"/>
          <w:color w:val="000000"/>
          <w:sz w:val="28"/>
        </w:rPr>
        <w:t>
      КарУ является активным участником республиканского социального проекта "Мәңгілік ел жастары – индустрияға!" ("Серпін"), в рамках которого в КарУ обучаются порядка 2000 студентов. В КарУ действует 16 молодежных объединений студенческого самоуправления, 107 клубов, творческих студий и коллективов, 30 спортивных секций. Ежегодно в КарУ проводится порядка 250 мероприятий, направленных на формирование казахстанского патриотизма, популяризацию отечественной истории, государственного языка, здорового образа жизни, профилактику религиозного экстремизма, правонарушений. Особое внимание в КарУ уделяется созданию условий для обучения студентов с особыми образовательными потребностями, функционирует ресурсный центр инклюзивного образования. Конкурентоспособность КарУ поддерживается развитой инфраструктурой, включающей 10 учебных корпусов, научную библиотеку с фондом в 2 миллиона книг с активно развивающимся репозиторием, современными читальными залами, залами электронных ресурсов и коворкинг-центрами, оснащенными самыми современными технологиями по предоставлению услуг. КарУ предоставляет обучающимся 7 благоустроенных домов студентов, загородные базы практик и зоны отдыха, музеи, Дворец студентов, центр психологического сопровождения образовательной деятельности, медицинские пункты, современные спортивные сооружения, функционирует издательство.</w:t>
      </w:r>
    </w:p>
    <w:bookmarkEnd w:id="44"/>
    <w:bookmarkStart w:name="z58" w:id="45"/>
    <w:p>
      <w:pPr>
        <w:spacing w:after="0"/>
        <w:ind w:left="0"/>
        <w:jc w:val="both"/>
      </w:pPr>
      <w:r>
        <w:rPr>
          <w:rFonts w:ascii="Times New Roman"/>
          <w:b w:val="false"/>
          <w:i w:val="false"/>
          <w:color w:val="000000"/>
          <w:sz w:val="28"/>
        </w:rPr>
        <w:t>
      В КарУ успешно функционирует система внутреннего обеспечения качества с учетом требований международных стандартов Environmental, Social, and Corporate Governance.</w:t>
      </w:r>
    </w:p>
    <w:bookmarkEnd w:id="45"/>
    <w:bookmarkStart w:name="z59" w:id="46"/>
    <w:p>
      <w:pPr>
        <w:spacing w:after="0"/>
        <w:ind w:left="0"/>
        <w:jc w:val="both"/>
      </w:pPr>
      <w:r>
        <w:rPr>
          <w:rFonts w:ascii="Times New Roman"/>
          <w:b w:val="false"/>
          <w:i w:val="false"/>
          <w:color w:val="000000"/>
          <w:sz w:val="28"/>
        </w:rPr>
        <w:t>
      Согласно требованиям Закона Республики Казахстан "О противодействии коррупции" в КарУ создана антикоррупционная комплаенс-служба.</w:t>
      </w:r>
    </w:p>
    <w:bookmarkEnd w:id="46"/>
    <w:bookmarkStart w:name="z60" w:id="47"/>
    <w:p>
      <w:pPr>
        <w:spacing w:after="0"/>
        <w:ind w:left="0"/>
        <w:jc w:val="both"/>
      </w:pPr>
      <w:r>
        <w:rPr>
          <w:rFonts w:ascii="Times New Roman"/>
          <w:b w:val="false"/>
          <w:i w:val="false"/>
          <w:color w:val="000000"/>
          <w:sz w:val="28"/>
        </w:rPr>
        <w:t xml:space="preserve">
      В КарУ разработаны и утверждены политика академической честности, Кодекс корпоративной этики, Положение о выявлении и урегулировании корпоративных конфликтов и конфликтов интересов, антикоррупционная политика, антикоррупционный стандарт, регламент взаимодействия руководителей структурных подразделений, деканов факультетов с антикоррупционной комплаенс-службой по реализации антикоррупционной политики, методические рекомендации по организации института антикоррупционного комплаенса, Положение о порядке проведения анкетирования (социологического опроса) обучающихся по вопросам оценки и восприятия коррупции, качества предоставления образовательных услуг, методические рекомендации по проведению антикоррупционной экспертизы внутренних (локальных) нормативных актов и их проектов. Также в КарУ действует Совет по этике и применяются инструменты академической честности. </w:t>
      </w:r>
    </w:p>
    <w:bookmarkEnd w:id="47"/>
    <w:bookmarkStart w:name="z61" w:id="48"/>
    <w:p>
      <w:pPr>
        <w:spacing w:after="0"/>
        <w:ind w:left="0"/>
        <w:jc w:val="both"/>
      </w:pPr>
      <w:r>
        <w:rPr>
          <w:rFonts w:ascii="Times New Roman"/>
          <w:b w:val="false"/>
          <w:i w:val="false"/>
          <w:color w:val="000000"/>
          <w:sz w:val="28"/>
        </w:rPr>
        <w:t>
      Антикоррупционный стандарт КарУ направлен на формирование устойчивого антикоррупционного поведения и культуры у работников, ППС и обучающихся, устранение причин и условий, порождающих коррупцию, повышение правовой грамотности и формирование нулевой терпимости к любым проявлением коррупции.</w:t>
      </w:r>
    </w:p>
    <w:bookmarkEnd w:id="48"/>
    <w:bookmarkStart w:name="z62" w:id="49"/>
    <w:p>
      <w:pPr>
        <w:spacing w:after="0"/>
        <w:ind w:left="0"/>
        <w:jc w:val="both"/>
      </w:pPr>
      <w:r>
        <w:rPr>
          <w:rFonts w:ascii="Times New Roman"/>
          <w:b w:val="false"/>
          <w:i w:val="false"/>
          <w:color w:val="000000"/>
          <w:sz w:val="28"/>
        </w:rPr>
        <w:t xml:space="preserve">
      19 марта 2023 года КарУ вступил в Лигу академической честности, что способствует повышению качества образования, противодействию коррупции во всех еҰ проявлениях. </w:t>
      </w:r>
    </w:p>
    <w:bookmarkEnd w:id="49"/>
    <w:bookmarkStart w:name="z63" w:id="50"/>
    <w:p>
      <w:pPr>
        <w:spacing w:after="0"/>
        <w:ind w:left="0"/>
        <w:jc w:val="both"/>
      </w:pPr>
      <w:r>
        <w:rPr>
          <w:rFonts w:ascii="Times New Roman"/>
          <w:b w:val="false"/>
          <w:i w:val="false"/>
          <w:color w:val="000000"/>
          <w:sz w:val="28"/>
        </w:rPr>
        <w:t>
      На постоянной основе ведутся антикоррупционный мониторинг и анализ коррупционных рисков, конфликта интересов с принятием рекомендаций, направляются информационные письма по выработке эффективных инструментов антикоррупционной политики в КарУ. В рабочие учебные планы образовательных программ бакалавриата включена дисциплина "Основы права и антикоррупционной культуры" в объеме 5 кредитов.</w:t>
      </w:r>
    </w:p>
    <w:bookmarkEnd w:id="50"/>
    <w:bookmarkStart w:name="z64" w:id="51"/>
    <w:p>
      <w:pPr>
        <w:spacing w:after="0"/>
        <w:ind w:left="0"/>
        <w:jc w:val="both"/>
      </w:pPr>
      <w:r>
        <w:rPr>
          <w:rFonts w:ascii="Times New Roman"/>
          <w:b w:val="false"/>
          <w:i w:val="false"/>
          <w:color w:val="000000"/>
          <w:sz w:val="28"/>
        </w:rPr>
        <w:t>
      С целью развития корпоративной и стратегической устойчивости КарУ началась интеграция целей устойчивого развития в систему управления, стратегию развития и ключевые процессы деятельности КарУ; разработана политика в области устойчивого развития. В контексте устойчивого развития с 2021 – 2022 учебного года в КарУ внедрена система управления рисками. В соответствии с разработанной политикой управления рисками в настоящее время ведется работа по управлению рисками, связанными с учебной, научной, воспитательной, культурной и другими сферами деятельности КарУ; развивается культура риск-менеджмента.</w:t>
      </w:r>
    </w:p>
    <w:bookmarkEnd w:id="51"/>
    <w:bookmarkStart w:name="z65" w:id="52"/>
    <w:p>
      <w:pPr>
        <w:spacing w:after="0"/>
        <w:ind w:left="0"/>
        <w:jc w:val="both"/>
      </w:pPr>
      <w:r>
        <w:rPr>
          <w:rFonts w:ascii="Times New Roman"/>
          <w:b w:val="false"/>
          <w:i w:val="false"/>
          <w:color w:val="000000"/>
          <w:sz w:val="28"/>
        </w:rPr>
        <w:t>
      В рамках реализации стратегической задачи КарУ ориентирован на расширение участия в развитии инновационной среды региона через активное влияние на формирование инновационной экосистемы и культуры, содействие изменению социальной среды, реализации современных моделей общественного развития. КарУ будет способствовать развитию социально-ответственной и инновационно-ориентированной предпринимательской деятельности, используя механизмы государственно-частного партнерства, коммерциализации научных разработок.</w:t>
      </w:r>
    </w:p>
    <w:bookmarkEnd w:id="52"/>
    <w:p>
      <w:pPr>
        <w:spacing w:after="0"/>
        <w:ind w:left="0"/>
        <w:jc w:val="both"/>
      </w:pPr>
      <w:r>
        <w:rPr>
          <w:rFonts w:ascii="Times New Roman"/>
          <w:b/>
          <w:i w:val="false"/>
          <w:color w:val="000000"/>
          <w:sz w:val="28"/>
        </w:rPr>
        <w:t>Подраздел 2. Анализ трендов и вызовов</w:t>
      </w:r>
    </w:p>
    <w:bookmarkStart w:name="z67" w:id="53"/>
    <w:p>
      <w:pPr>
        <w:spacing w:after="0"/>
        <w:ind w:left="0"/>
        <w:jc w:val="both"/>
      </w:pPr>
      <w:r>
        <w:rPr>
          <w:rFonts w:ascii="Times New Roman"/>
          <w:b w:val="false"/>
          <w:i w:val="false"/>
          <w:color w:val="000000"/>
          <w:sz w:val="28"/>
        </w:rPr>
        <w:t>
      В условиях глобализации, формирования и развития "зеленой экономики" инновационная политика является важным фактором диверсификации экономики, что ведет к созданию конкурентоспособной экономики инновационного типа. Реалии четвертой индустриальной революции смещают приоритеты развития познания в направлении наук о жизни и их тесной интеграции с инженерными и точными областями знаний. По мнению главы Давосского экономического форума К. Шваба мегатренды ХХІ века будут представлены в таких направлениях, как биология, физика и информационные технологии. Процесс внедрения транс- и междисциплинарных технологий требует больших материальных и интеллектуальных ресурсов, при этом важно понимать что эти затраты оправданы. Следует отметить, что для создания и работы с высокотехнологичным оборудованием и интерпретации полученных данных необходима соответствующая компетенция сотрудников, то есть необходимо готовить высококвалифицированных специалистов, способных решать как узкие задачи своей области, так и понимать преимущества трансдисциплинарного взаимодействия. Их подготовка имеет наибольшие условия реализации в многопрофильных классических университетах на базе мультидисциплинарных исследовательских центров.</w:t>
      </w:r>
    </w:p>
    <w:bookmarkEnd w:id="53"/>
    <w:bookmarkStart w:name="z68" w:id="54"/>
    <w:p>
      <w:pPr>
        <w:spacing w:after="0"/>
        <w:ind w:left="0"/>
        <w:jc w:val="both"/>
      </w:pPr>
      <w:r>
        <w:rPr>
          <w:rFonts w:ascii="Times New Roman"/>
          <w:b w:val="false"/>
          <w:i w:val="false"/>
          <w:color w:val="000000"/>
          <w:sz w:val="28"/>
        </w:rPr>
        <w:t>
      Анализ ключевых особенностей ведущих зарубежных исследовательских университетов (Stanford University, University of Texas at Austin, Manchester Metropolitan University и другие) позволяет выделить следующие аспекты:</w:t>
      </w:r>
    </w:p>
    <w:bookmarkEnd w:id="54"/>
    <w:bookmarkStart w:name="z69" w:id="55"/>
    <w:p>
      <w:pPr>
        <w:spacing w:after="0"/>
        <w:ind w:left="0"/>
        <w:jc w:val="both"/>
      </w:pPr>
      <w:r>
        <w:rPr>
          <w:rFonts w:ascii="Times New Roman"/>
          <w:b w:val="false"/>
          <w:i w:val="false"/>
          <w:color w:val="000000"/>
          <w:sz w:val="28"/>
        </w:rPr>
        <w:t>
      1) привлечение преподавателей высшего уровня, являющихся экспертами в своих областях;</w:t>
      </w:r>
    </w:p>
    <w:bookmarkEnd w:id="55"/>
    <w:bookmarkStart w:name="z70" w:id="56"/>
    <w:p>
      <w:pPr>
        <w:spacing w:after="0"/>
        <w:ind w:left="0"/>
        <w:jc w:val="both"/>
      </w:pPr>
      <w:r>
        <w:rPr>
          <w:rFonts w:ascii="Times New Roman"/>
          <w:b w:val="false"/>
          <w:i w:val="false"/>
          <w:color w:val="000000"/>
          <w:sz w:val="28"/>
        </w:rPr>
        <w:t>
      2) наличие современной исследовательской инфраструктуры, способной обеспечить передовые научные изыскания;</w:t>
      </w:r>
    </w:p>
    <w:bookmarkEnd w:id="56"/>
    <w:bookmarkStart w:name="z71" w:id="57"/>
    <w:p>
      <w:pPr>
        <w:spacing w:after="0"/>
        <w:ind w:left="0"/>
        <w:jc w:val="both"/>
      </w:pPr>
      <w:r>
        <w:rPr>
          <w:rFonts w:ascii="Times New Roman"/>
          <w:b w:val="false"/>
          <w:i w:val="false"/>
          <w:color w:val="000000"/>
          <w:sz w:val="28"/>
        </w:rPr>
        <w:t>
      3) широкий спектр исследовательских программ по различным дисциплинам, отвечающих разнообразным интересам всех участников университетского сообщества;</w:t>
      </w:r>
    </w:p>
    <w:bookmarkEnd w:id="57"/>
    <w:bookmarkStart w:name="z72" w:id="58"/>
    <w:p>
      <w:pPr>
        <w:spacing w:after="0"/>
        <w:ind w:left="0"/>
        <w:jc w:val="both"/>
      </w:pPr>
      <w:r>
        <w:rPr>
          <w:rFonts w:ascii="Times New Roman"/>
          <w:b w:val="false"/>
          <w:i w:val="false"/>
          <w:color w:val="000000"/>
          <w:sz w:val="28"/>
        </w:rPr>
        <w:t>
      4) поощрение сотрудничества между различными профессиональными группами и содействие междисциплинарным исследованиям, способствующим инновационным прорывам;</w:t>
      </w:r>
    </w:p>
    <w:bookmarkEnd w:id="58"/>
    <w:bookmarkStart w:name="z73" w:id="59"/>
    <w:p>
      <w:pPr>
        <w:spacing w:after="0"/>
        <w:ind w:left="0"/>
        <w:jc w:val="both"/>
      </w:pPr>
      <w:r>
        <w:rPr>
          <w:rFonts w:ascii="Times New Roman"/>
          <w:b w:val="false"/>
          <w:i w:val="false"/>
          <w:color w:val="000000"/>
          <w:sz w:val="28"/>
        </w:rPr>
        <w:t>
      5) наличие эффективных механизмов для передачи научных открытий и инноваций в коммерческий сектор, способствующих экономическому развитию;</w:t>
      </w:r>
    </w:p>
    <w:bookmarkEnd w:id="59"/>
    <w:bookmarkStart w:name="z74" w:id="60"/>
    <w:p>
      <w:pPr>
        <w:spacing w:after="0"/>
        <w:ind w:left="0"/>
        <w:jc w:val="both"/>
      </w:pPr>
      <w:r>
        <w:rPr>
          <w:rFonts w:ascii="Times New Roman"/>
          <w:b w:val="false"/>
          <w:i w:val="false"/>
          <w:color w:val="000000"/>
          <w:sz w:val="28"/>
        </w:rPr>
        <w:t>
      6) эффективное международное сотрудничество, способствующее устойчивому позиционированию КарУ в глобальном научном и образовательном пространстве;</w:t>
      </w:r>
    </w:p>
    <w:bookmarkEnd w:id="60"/>
    <w:bookmarkStart w:name="z75" w:id="61"/>
    <w:p>
      <w:pPr>
        <w:spacing w:after="0"/>
        <w:ind w:left="0"/>
        <w:jc w:val="both"/>
      </w:pPr>
      <w:r>
        <w:rPr>
          <w:rFonts w:ascii="Times New Roman"/>
          <w:b w:val="false"/>
          <w:i w:val="false"/>
          <w:color w:val="000000"/>
          <w:sz w:val="28"/>
        </w:rPr>
        <w:t>
      7) участие исследовательского КарУ в решении экономических, социальных и культурных проблем казахстанского социума.</w:t>
      </w:r>
    </w:p>
    <w:bookmarkEnd w:id="61"/>
    <w:bookmarkStart w:name="z76" w:id="62"/>
    <w:p>
      <w:pPr>
        <w:spacing w:after="0"/>
        <w:ind w:left="0"/>
        <w:jc w:val="both"/>
      </w:pPr>
      <w:r>
        <w:rPr>
          <w:rFonts w:ascii="Times New Roman"/>
          <w:b w:val="false"/>
          <w:i w:val="false"/>
          <w:color w:val="000000"/>
          <w:sz w:val="28"/>
        </w:rPr>
        <w:t xml:space="preserve">
      Современное развитие ОВПО невозможно без прогноза изменения тенденций рынка труда и потребности в кадрах. Рынок труда отражает тенденции современного общества и происходящие технологические и социальные изменения как в стране, так и в мире. Несмотря на различные глобальные вызовы, которые ставят все страны перед необходимостью поиска адаптивных подходов в образовании, основные тенденции отечественного рынка труда сохраняются. </w:t>
      </w:r>
    </w:p>
    <w:bookmarkEnd w:id="62"/>
    <w:bookmarkStart w:name="z77" w:id="63"/>
    <w:p>
      <w:pPr>
        <w:spacing w:after="0"/>
        <w:ind w:left="0"/>
        <w:jc w:val="both"/>
      </w:pPr>
      <w:r>
        <w:rPr>
          <w:rFonts w:ascii="Times New Roman"/>
          <w:b w:val="false"/>
          <w:i w:val="false"/>
          <w:color w:val="000000"/>
          <w:sz w:val="28"/>
        </w:rPr>
        <w:t>
      Важной тенденцией отечественного рынка труда остаҰтся растущий спрос на специалистов, обладающих мультифункциональными навыками и новыми знаниями, способных оперативно перестроить бизнес-структуры и предприятия под новые стандарты, вывести их из кризиса. По результатам некоторых исследований в среднесрочной перспективе наиболее востребованными станут IT-специалисты разного уровня (от программистов и мобильных разработчиков до экспертов по кибербезопасности), специалисты по цифровой трансформации бизнеса, SMM-менеджеры, маркетологи, аналитики "Big Data". В отношении ОВПО это означает, что будут востребованы такие качества выпускников, как способность ориентироваться в больших объҰмах информации, действовать в условиях неопределҰнности и решать кросс-функциональные задачи. С учҰтом новых реалий КарУ ориентирован в среднесрочной перспективе на проведение модернизации образовательных программ для соответствия глобальным вызовам цифровой реальности.</w:t>
      </w:r>
    </w:p>
    <w:bookmarkEnd w:id="63"/>
    <w:bookmarkStart w:name="z78" w:id="64"/>
    <w:p>
      <w:pPr>
        <w:spacing w:after="0"/>
        <w:ind w:left="0"/>
        <w:jc w:val="both"/>
      </w:pPr>
      <w:r>
        <w:rPr>
          <w:rFonts w:ascii="Times New Roman"/>
          <w:b w:val="false"/>
          <w:i w:val="false"/>
          <w:color w:val="000000"/>
          <w:sz w:val="28"/>
        </w:rPr>
        <w:t xml:space="preserve">
      Переход к "зеленому росту" является необходимым приоритетом для Казахстана, поскольку экономическое развитие страны в настоящее время в значительной степени сосредоточено на добывающих производствах и экспорте сырьевых товаров. В то же время в большинстве секторов экономики наблюдаются относительно высокий уровень энергоемкости и загрязнения, а также низкая энергоэффективность. </w:t>
      </w:r>
    </w:p>
    <w:bookmarkEnd w:id="64"/>
    <w:bookmarkStart w:name="z79" w:id="65"/>
    <w:p>
      <w:pPr>
        <w:spacing w:after="0"/>
        <w:ind w:left="0"/>
        <w:jc w:val="both"/>
      </w:pPr>
      <w:r>
        <w:rPr>
          <w:rFonts w:ascii="Times New Roman"/>
          <w:b w:val="false"/>
          <w:i w:val="false"/>
          <w:color w:val="000000"/>
          <w:sz w:val="28"/>
        </w:rPr>
        <w:t>
      В Послании Главы государства Токаева К.К. народу Казахстана от 1 сентября 2023 года "Экономический курс Справедливого Казахстана" говорится: "Нам следует акцентированно заниматься развитием зеленой экономики. Очевидно, что в долгосрочной перспективе глобальный переход на чистую энергетику неизбежен. По данным международных аналитиков, около трети общемировых капитальных вложений уже приходится на проекты возобновляемой энергетики.".</w:t>
      </w:r>
    </w:p>
    <w:bookmarkEnd w:id="65"/>
    <w:bookmarkStart w:name="z80" w:id="66"/>
    <w:p>
      <w:pPr>
        <w:spacing w:after="0"/>
        <w:ind w:left="0"/>
        <w:jc w:val="both"/>
      </w:pPr>
      <w:r>
        <w:rPr>
          <w:rFonts w:ascii="Times New Roman"/>
          <w:b w:val="false"/>
          <w:i w:val="false"/>
          <w:color w:val="000000"/>
          <w:sz w:val="28"/>
        </w:rPr>
        <w:t>
      Стратегия "зеленого роста" Казахстана направлена на повышение эффективности использования ресурсов и продвижение новых технологий для обеспечения устойчивого роста для будущих поколений.</w:t>
      </w:r>
    </w:p>
    <w:bookmarkEnd w:id="66"/>
    <w:bookmarkStart w:name="z81" w:id="67"/>
    <w:p>
      <w:pPr>
        <w:spacing w:after="0"/>
        <w:ind w:left="0"/>
        <w:jc w:val="both"/>
      </w:pPr>
      <w:r>
        <w:rPr>
          <w:rFonts w:ascii="Times New Roman"/>
          <w:b w:val="false"/>
          <w:i w:val="false"/>
          <w:color w:val="000000"/>
          <w:sz w:val="28"/>
        </w:rPr>
        <w:t>
      Казахстан стал первым государством в Центральной Азии, создавшим организационно-правовую основу для перехода к "зеленому росту".</w:t>
      </w:r>
    </w:p>
    <w:bookmarkEnd w:id="67"/>
    <w:bookmarkStart w:name="z82" w:id="68"/>
    <w:p>
      <w:pPr>
        <w:spacing w:after="0"/>
        <w:ind w:left="0"/>
        <w:jc w:val="both"/>
      </w:pPr>
      <w:r>
        <w:rPr>
          <w:rFonts w:ascii="Times New Roman"/>
          <w:b w:val="false"/>
          <w:i w:val="false"/>
          <w:color w:val="000000"/>
          <w:sz w:val="28"/>
        </w:rPr>
        <w:t>
      В данную основу включено принятие нескольких законодательных актов, среди которых Экологический кодекс Республики Казахстан, Закон Республики Казахстан "О поддержке использования возобновляемых источников энергии", Концепция перехода Республики Казахстан к "зеленой экономике", утвержденная Указом Президента Республики Казахстан от 30 мая 2013 года № 577.</w:t>
      </w:r>
    </w:p>
    <w:bookmarkEnd w:id="68"/>
    <w:bookmarkStart w:name="z83" w:id="69"/>
    <w:p>
      <w:pPr>
        <w:spacing w:after="0"/>
        <w:ind w:left="0"/>
        <w:jc w:val="both"/>
      </w:pPr>
      <w:r>
        <w:rPr>
          <w:rFonts w:ascii="Times New Roman"/>
          <w:b w:val="false"/>
          <w:i w:val="false"/>
          <w:color w:val="000000"/>
          <w:sz w:val="28"/>
        </w:rPr>
        <w:t>
      В Карагандинской области проблема "зеленого роста" и необходимости формирования инновационных экосистем в области "зеленой экономики" стоит особенно остро в силу отраслевой специфики региона с доминированием горнодобывающей промышленности, черной и цветной металлургии. В сельскохозяйственном секторе экономики региона урожайность и валовой сбор продукции остаются во многом зависимы от природно-климатических условий. Вопрос рационального использования земель сельскохозяйственного назначения приобретает особую актуальность в связи с необходимостью обеспечения продовольственной безопасности.</w:t>
      </w:r>
    </w:p>
    <w:bookmarkEnd w:id="69"/>
    <w:bookmarkStart w:name="z84" w:id="70"/>
    <w:p>
      <w:pPr>
        <w:spacing w:after="0"/>
        <w:ind w:left="0"/>
        <w:jc w:val="both"/>
      </w:pPr>
      <w:r>
        <w:rPr>
          <w:rFonts w:ascii="Times New Roman"/>
          <w:b w:val="false"/>
          <w:i w:val="false"/>
          <w:color w:val="000000"/>
          <w:sz w:val="28"/>
        </w:rPr>
        <w:t>
      Текущая ситуация в области управления отходами характеризуется такой серьезной проблемой, как наследие исторических промышленных отходов. За предыдущие десятилетия были накоплены значительные исторические объемы отходов тяжелой промышленности, агропромышленного комплекса и разработки полезных ископаемых. Помимо того, что значительная часть таких отходов токсична, следует учитывать, что они содержат значительную долю экономически ценных материалов и могут быть вторично использованы в технологических циклах.</w:t>
      </w:r>
    </w:p>
    <w:bookmarkEnd w:id="70"/>
    <w:bookmarkStart w:name="z85" w:id="71"/>
    <w:p>
      <w:pPr>
        <w:spacing w:after="0"/>
        <w:ind w:left="0"/>
        <w:jc w:val="both"/>
      </w:pPr>
      <w:r>
        <w:rPr>
          <w:rFonts w:ascii="Times New Roman"/>
          <w:b w:val="false"/>
          <w:i w:val="false"/>
          <w:color w:val="000000"/>
          <w:sz w:val="28"/>
        </w:rPr>
        <w:t>
      КарУ станет региональным хабом по реализации инновационных проектов. Университетский исследовательский хаб "зеленых" инноваций "Green Innovation Hub" будет представлять собой особую инфраструктуру, обеспечивающую связь исследовательских центров и бизнеса, порождающую и поддерживающую на стартовом этапе малые высокотехнологичные предприятия. Green Innovation Hub станет площадкой для осуществления технологического трансферта, то есть будут осуществляться передача "зеленых" технологий, проекты которых возникли в научных центрах, в производство, доведение замысла до стадии выпуска продукции. Green Innovation Hub будет тесно взаимодействовать с другими хабами как на национальном, так и на международном уровне. Например, Green Innovation Hub с Astana Hub будет реализовывать совместно проекты по созданию прорывных компаний, использующих в своей деятельности искусственный интеллект и другие IT-технологии.</w:t>
      </w:r>
    </w:p>
    <w:bookmarkEnd w:id="71"/>
    <w:bookmarkStart w:name="z86" w:id="72"/>
    <w:p>
      <w:pPr>
        <w:spacing w:after="0"/>
        <w:ind w:left="0"/>
        <w:jc w:val="both"/>
      </w:pPr>
      <w:r>
        <w:rPr>
          <w:rFonts w:ascii="Times New Roman"/>
          <w:b w:val="false"/>
          <w:i w:val="false"/>
          <w:color w:val="000000"/>
          <w:sz w:val="28"/>
        </w:rPr>
        <w:t>
      В условиях современного Казахстана наряду с развитием промышленности, высоких технологий и интенсивных экономических преобразований место и роль социально-гуманитарного знания не теряют своей значимости. Основными тенденциями развития современных социально-гуманитарных наук являются их поликонцептуальность, мультидисциплинарность, цифровая трансформация, интегративный подход, транскультуральность, что требует системы образования, способной соответствовать подобным тенденциям.</w:t>
      </w:r>
    </w:p>
    <w:bookmarkEnd w:id="72"/>
    <w:bookmarkStart w:name="z87" w:id="73"/>
    <w:p>
      <w:pPr>
        <w:spacing w:after="0"/>
        <w:ind w:left="0"/>
        <w:jc w:val="both"/>
      </w:pPr>
      <w:r>
        <w:rPr>
          <w:rFonts w:ascii="Times New Roman"/>
          <w:b w:val="false"/>
          <w:i w:val="false"/>
          <w:color w:val="000000"/>
          <w:sz w:val="28"/>
        </w:rPr>
        <w:t xml:space="preserve">
      Одним из трендов социально-гуманитарного образования является смещение ориентиров от обучения узконаправленным специальным знаниям и умениям "hard skills" к формированию универсальных надпрофессиональных компетенций "soft skills", обеспечивающих становление всесторонне развитого конкурентоспособного специалиста. Тема формирования гибких навыков в системе образования в последнее время привлекает все большее внимание исследователей по всему миру, включая как представителей академического научного сообщества, так и различных организаций. </w:t>
      </w:r>
    </w:p>
    <w:bookmarkEnd w:id="73"/>
    <w:bookmarkStart w:name="z88" w:id="74"/>
    <w:p>
      <w:pPr>
        <w:spacing w:after="0"/>
        <w:ind w:left="0"/>
        <w:jc w:val="both"/>
      </w:pPr>
      <w:r>
        <w:rPr>
          <w:rFonts w:ascii="Times New Roman"/>
          <w:b w:val="false"/>
          <w:i w:val="false"/>
          <w:color w:val="000000"/>
          <w:sz w:val="28"/>
        </w:rPr>
        <w:t xml:space="preserve">
      Сегодня очевидно, что основные принципы и категориальный аппарат социально-гуманитарного познания претерпели существенные изменения и требуют как критического и содержательного переосмысления, так и дальнейшего развития. Вызовы современного общества ставят высокие требования к подготовке профессионалов, владеющих актуальными социальными технологиями, знаниями в области демографической и гендерной политики Казахстана, проявляющих активную гражданскую позицию и социальную активность. </w:t>
      </w:r>
    </w:p>
    <w:bookmarkEnd w:id="74"/>
    <w:bookmarkStart w:name="z89" w:id="75"/>
    <w:p>
      <w:pPr>
        <w:spacing w:after="0"/>
        <w:ind w:left="0"/>
        <w:jc w:val="both"/>
      </w:pPr>
      <w:r>
        <w:rPr>
          <w:rFonts w:ascii="Times New Roman"/>
          <w:b w:val="false"/>
          <w:i w:val="false"/>
          <w:color w:val="000000"/>
          <w:sz w:val="28"/>
        </w:rPr>
        <w:t>
      Не теряют своей остроты вопросы межконфессионального согласия и религиозной идентичности личности, вопросы сохранения и приумножения культурного наследия казахского народа. Социально-гуманитарное образование выступает своеобразным посредником между достижениями культуры прошлого, настоящего и будущего, примиряя их на уровне рефлексивного отношения к возможности продуктивного диалога времен и поколений. Именно поэтому в современных условиях изменяется и основная функция социально-гуманитарного образования, которое должно трансформироваться в систему вариативного, развивающего образования для людей в условиях кардинально и стремительно меняющегося социума.</w:t>
      </w:r>
    </w:p>
    <w:bookmarkEnd w:id="75"/>
    <w:bookmarkStart w:name="z90" w:id="76"/>
    <w:p>
      <w:pPr>
        <w:spacing w:after="0"/>
        <w:ind w:left="0"/>
        <w:jc w:val="both"/>
      </w:pPr>
      <w:r>
        <w:rPr>
          <w:rFonts w:ascii="Times New Roman"/>
          <w:b w:val="false"/>
          <w:i w:val="false"/>
          <w:color w:val="000000"/>
          <w:sz w:val="28"/>
        </w:rPr>
        <w:t>
      Глобальной целью современного отечественного образования является воспитание гуманистической личности. Это свободная личность, способная к самоопределению и самореализации в современном социокультурном пространстве, обладающая высокой адаптивностью и проактивностью, высоким уровнем субъективного благополучия, творческой свободой и вариативным мышлением. Это обусловливает повышенное внимание к социально-гуманитарному знанию и формирующему человека социально-гуманитарному образованию. В современном мире социальные и гуманитарные науки играют важную роль в объяснении, понимании, прогнозировании социальных, культурных и политических явлений, формировании устойчивого общества и развитии гармоничных межкультурных и межконфессиональных отношений.</w:t>
      </w:r>
    </w:p>
    <w:bookmarkEnd w:id="76"/>
    <w:bookmarkStart w:name="z91" w:id="77"/>
    <w:p>
      <w:pPr>
        <w:spacing w:after="0"/>
        <w:ind w:left="0"/>
        <w:jc w:val="both"/>
      </w:pPr>
      <w:r>
        <w:rPr>
          <w:rFonts w:ascii="Times New Roman"/>
          <w:b w:val="false"/>
          <w:i w:val="false"/>
          <w:color w:val="000000"/>
          <w:sz w:val="28"/>
        </w:rPr>
        <w:t>
      Актуальными мировыми трендами высшего образования являются рост доли населения с высшим образованием, практико-ориентированное обучение, цифровизация, онлайн-образование, предметно-ориентированная трансляция знаний, интернационализация, геймификация, персонализация, а также стремительная трансформация миссии ОВПО от источников знаний и исследований в центры инноваций и технологического прогресса, что должно выводить ОВПО на новый уровень деятельности.</w:t>
      </w:r>
    </w:p>
    <w:bookmarkEnd w:id="77"/>
    <w:bookmarkStart w:name="z92" w:id="78"/>
    <w:p>
      <w:pPr>
        <w:spacing w:after="0"/>
        <w:ind w:left="0"/>
        <w:jc w:val="both"/>
      </w:pPr>
      <w:r>
        <w:rPr>
          <w:rFonts w:ascii="Times New Roman"/>
          <w:b w:val="false"/>
          <w:i w:val="false"/>
          <w:color w:val="000000"/>
          <w:sz w:val="28"/>
        </w:rPr>
        <w:t>
      Ожидается, что глобальными трендами в развитии системы высшего образования на ближайшие годы станут технологическое переустройство образовательного контента, междисциплинарность и внедрение индивидуальных образовательных траекторий, формирование инновационных образовательных программ, включающих в учебную и проектную деятельность "soft и future-skills".</w:t>
      </w:r>
    </w:p>
    <w:bookmarkEnd w:id="78"/>
    <w:bookmarkStart w:name="z93" w:id="79"/>
    <w:p>
      <w:pPr>
        <w:spacing w:after="0"/>
        <w:ind w:left="0"/>
        <w:jc w:val="both"/>
      </w:pPr>
      <w:r>
        <w:rPr>
          <w:rFonts w:ascii="Times New Roman"/>
          <w:b w:val="false"/>
          <w:i w:val="false"/>
          <w:color w:val="000000"/>
          <w:sz w:val="28"/>
        </w:rPr>
        <w:t>
      Данные международных исследований указывают на необходимость развития научно-методического аспекта в подготовке педагогов, формирование их готовности как к изменениям, так и к учету индивидуальных потребностей обучающихся.</w:t>
      </w:r>
    </w:p>
    <w:bookmarkEnd w:id="79"/>
    <w:bookmarkStart w:name="z94" w:id="80"/>
    <w:p>
      <w:pPr>
        <w:spacing w:after="0"/>
        <w:ind w:left="0"/>
        <w:jc w:val="both"/>
      </w:pPr>
      <w:r>
        <w:rPr>
          <w:rFonts w:ascii="Times New Roman"/>
          <w:b w:val="false"/>
          <w:i w:val="false"/>
          <w:color w:val="000000"/>
          <w:sz w:val="28"/>
        </w:rPr>
        <w:t>
      Анализ потребностей рынка труда и исследований перспектив образования позволяет констатировать, что необходимо системное развитие процесса непрерывного образования. Следовательно в университетском образовании необходим переход от традиционных программ обучения к подготовке обучающихся к будущему через обновление содержания образования в направлении формирования глобальных компетенций, внедрения интерактивных и дизайнерских технологий обучения.</w:t>
      </w:r>
    </w:p>
    <w:bookmarkEnd w:id="80"/>
    <w:bookmarkStart w:name="z95" w:id="81"/>
    <w:p>
      <w:pPr>
        <w:spacing w:after="0"/>
        <w:ind w:left="0"/>
        <w:jc w:val="both"/>
      </w:pPr>
      <w:r>
        <w:rPr>
          <w:rFonts w:ascii="Times New Roman"/>
          <w:b w:val="false"/>
          <w:i w:val="false"/>
          <w:color w:val="000000"/>
          <w:sz w:val="28"/>
        </w:rPr>
        <w:t>
      Подготовка будущих специалистов в любой предметной сфере требует и обеспечения образовательного процесса качественной образовательной инфраструктурой, объектами, соответствующими современным санитарным нормам, безопасности, стандартам оснащенности.</w:t>
      </w:r>
    </w:p>
    <w:bookmarkEnd w:id="81"/>
    <w:p>
      <w:pPr>
        <w:spacing w:after="0"/>
        <w:ind w:left="0"/>
        <w:jc w:val="both"/>
      </w:pPr>
      <w:r>
        <w:rPr>
          <w:rFonts w:ascii="Times New Roman"/>
          <w:b/>
          <w:i w:val="false"/>
          <w:color w:val="000000"/>
          <w:sz w:val="28"/>
        </w:rPr>
        <w:t>Подраздел 3. Прогноз развития и определение возможных сценариев развития и их влияния на некоммерческое акционерное общество "Карагандинский университет имени академика Е.А. Букетова"</w:t>
      </w:r>
    </w:p>
    <w:bookmarkStart w:name="z97" w:id="82"/>
    <w:p>
      <w:pPr>
        <w:spacing w:after="0"/>
        <w:ind w:left="0"/>
        <w:jc w:val="both"/>
      </w:pPr>
      <w:r>
        <w:rPr>
          <w:rFonts w:ascii="Times New Roman"/>
          <w:b w:val="false"/>
          <w:i w:val="false"/>
          <w:color w:val="000000"/>
          <w:sz w:val="28"/>
        </w:rPr>
        <w:t>
      В контексте стратегии развития КарУ нацелен на эффективное адаптирование к динамичным изменениям окружающей среды, в том числе к новым технологическим трендам, экономическим флуктуациям и социальным изменениям. Данный подход подразумевает активное отслеживание и адекватное реагирование на различные вызовы, что способствует поддержанию стабильности и продолжительному развитию университета.</w:t>
      </w:r>
    </w:p>
    <w:bookmarkEnd w:id="82"/>
    <w:bookmarkStart w:name="z98" w:id="83"/>
    <w:p>
      <w:pPr>
        <w:spacing w:after="0"/>
        <w:ind w:left="0"/>
        <w:jc w:val="both"/>
      </w:pPr>
      <w:r>
        <w:rPr>
          <w:rFonts w:ascii="Times New Roman"/>
          <w:b w:val="false"/>
          <w:i w:val="false"/>
          <w:color w:val="000000"/>
          <w:sz w:val="28"/>
        </w:rPr>
        <w:t xml:space="preserve">
      Процессы глобализации и различные интеграционные процессы в мире актуализировали необходимость повышения конкурентоспособности высшего образования. Произошедшие изменения коснулись содержания образования, средств и методов обучения, систем оценки качества образования, подготовки обучающихся к профессиональной деятельности в образовательной деятельности КарУ. В связи с этим возросло значение качества образовательных услуг, их диверсификации, доступности других показателей сохранения способности учебного заведения конкурировать на рынке образовательных услуг. Все это предопределило необходимость разработки КарУ такой стратегии развития, постановки таких интегрально решающих подходов внедрения новых технологий и типов организации производства, управления и подготовки кадров, которые, апеллируя к мировым тенденциям конкурентоспособности, позволили бы организовать выполнение задач высшей школы в условиях международной конкуренции. </w:t>
      </w:r>
    </w:p>
    <w:bookmarkEnd w:id="83"/>
    <w:bookmarkStart w:name="z99" w:id="84"/>
    <w:p>
      <w:pPr>
        <w:spacing w:after="0"/>
        <w:ind w:left="0"/>
        <w:jc w:val="both"/>
      </w:pPr>
      <w:r>
        <w:rPr>
          <w:rFonts w:ascii="Times New Roman"/>
          <w:b w:val="false"/>
          <w:i w:val="false"/>
          <w:color w:val="000000"/>
          <w:sz w:val="28"/>
        </w:rPr>
        <w:t>
      Основными инструментами реализации поставленных целей и задач станут систематический мониторинг и корректировка результативности в целях обеспечения успешной образовательной, научной, исследовательской, инновационной, воспитательной деятельности, развития кадрового потенциала, роста интернационализации и международного признания, укрепления финансовой устойчивости КарУ. Обновление организационной архитектуры КарУ, развитие информационной экосистемы и проектной деятельности на всех уровнях управления, рост коммерциализации университетской науки и деятельность эндаумент-фонда позволят обеспечить эффективность бизнес-процессов для достижения запланированных индикаторов.</w:t>
      </w:r>
    </w:p>
    <w:bookmarkEnd w:id="84"/>
    <w:bookmarkStart w:name="z100" w:id="85"/>
    <w:p>
      <w:pPr>
        <w:spacing w:after="0"/>
        <w:ind w:left="0"/>
        <w:jc w:val="both"/>
      </w:pPr>
      <w:r>
        <w:rPr>
          <w:rFonts w:ascii="Times New Roman"/>
          <w:b w:val="false"/>
          <w:i w:val="false"/>
          <w:color w:val="000000"/>
          <w:sz w:val="28"/>
        </w:rPr>
        <w:t>
      Важными аспектами новой модели образования становятся коммуникации, критическое мышление и стратегическая командная работа. Вовлечение студентов с первого года обучения в реализацию различных проектных работ, создание открытых площадок для разработки технологических и междисциплинарных исследовательских стартапов, а также организация дуального обучения в условиях корпоративного обучения становятся ключевыми элементами опережающего образования.</w:t>
      </w:r>
    </w:p>
    <w:bookmarkEnd w:id="85"/>
    <w:bookmarkStart w:name="z101" w:id="86"/>
    <w:p>
      <w:pPr>
        <w:spacing w:after="0"/>
        <w:ind w:left="0"/>
        <w:jc w:val="both"/>
      </w:pPr>
      <w:r>
        <w:rPr>
          <w:rFonts w:ascii="Times New Roman"/>
          <w:b w:val="false"/>
          <w:i w:val="false"/>
          <w:color w:val="000000"/>
          <w:sz w:val="28"/>
        </w:rPr>
        <w:t>
      Опережающее образование ориентировано на адаптацию системы образования к будущим потребностям, повышение уровня взаимодействия учебных заведений с рыночными отношениями и использование мировых экономических механизмов для финансовой стабилизации. Кроме того, акцент делается на повышении качества образования и формировании у студентов стремления к постоянному обновлению своих знаний.</w:t>
      </w:r>
    </w:p>
    <w:bookmarkEnd w:id="86"/>
    <w:bookmarkStart w:name="z102" w:id="87"/>
    <w:p>
      <w:pPr>
        <w:spacing w:after="0"/>
        <w:ind w:left="0"/>
        <w:jc w:val="both"/>
      </w:pPr>
      <w:r>
        <w:rPr>
          <w:rFonts w:ascii="Times New Roman"/>
          <w:b w:val="false"/>
          <w:i w:val="false"/>
          <w:color w:val="000000"/>
          <w:sz w:val="28"/>
        </w:rPr>
        <w:t>
      Основой формирования модели опережающего образования является развитие личности, направленное на формирование новых профессиональных и личностных качеств, адаптирующих человека к жизни и работе в условиях неопределенности и быстрых изменений внешней среды. Реализация этой модели образования призвана обеспечить повышение профессиональной мобильности и конкурентоспособности выпускников КарУ, готовых к эффективной деятельности в современном мире.</w:t>
      </w:r>
    </w:p>
    <w:bookmarkEnd w:id="87"/>
    <w:p>
      <w:pPr>
        <w:spacing w:after="0"/>
        <w:ind w:left="0"/>
        <w:jc w:val="both"/>
      </w:pPr>
      <w:r>
        <w:rPr>
          <w:rFonts w:ascii="Times New Roman"/>
          <w:b/>
          <w:i w:val="false"/>
          <w:color w:val="000000"/>
          <w:sz w:val="28"/>
        </w:rPr>
        <w:t>Раздел 3. Видение, миссия и ценности Программы развития некоммерческого акционерного общества "Карагандинский университет имени академика Е.А. Букетова"</w:t>
      </w:r>
    </w:p>
    <w:bookmarkStart w:name="z104" w:id="88"/>
    <w:p>
      <w:pPr>
        <w:spacing w:after="0"/>
        <w:ind w:left="0"/>
        <w:jc w:val="both"/>
      </w:pPr>
      <w:r>
        <w:rPr>
          <w:rFonts w:ascii="Times New Roman"/>
          <w:b w:val="false"/>
          <w:i w:val="false"/>
          <w:color w:val="000000"/>
          <w:sz w:val="28"/>
        </w:rPr>
        <w:t>
      Видение Программы развития:</w:t>
      </w:r>
    </w:p>
    <w:bookmarkEnd w:id="88"/>
    <w:bookmarkStart w:name="z105" w:id="89"/>
    <w:p>
      <w:pPr>
        <w:spacing w:after="0"/>
        <w:ind w:left="0"/>
        <w:jc w:val="both"/>
      </w:pPr>
      <w:r>
        <w:rPr>
          <w:rFonts w:ascii="Times New Roman"/>
          <w:b w:val="false"/>
          <w:i w:val="false"/>
          <w:color w:val="000000"/>
          <w:sz w:val="28"/>
        </w:rPr>
        <w:t>
      Классический исследовательский университет – центр высокотехнологичных научных исследований и академического превосходства.</w:t>
      </w:r>
    </w:p>
    <w:bookmarkEnd w:id="89"/>
    <w:bookmarkStart w:name="z106" w:id="90"/>
    <w:p>
      <w:pPr>
        <w:spacing w:after="0"/>
        <w:ind w:left="0"/>
        <w:jc w:val="both"/>
      </w:pPr>
      <w:r>
        <w:rPr>
          <w:rFonts w:ascii="Times New Roman"/>
          <w:b w:val="false"/>
          <w:i w:val="false"/>
          <w:color w:val="000000"/>
          <w:sz w:val="28"/>
        </w:rPr>
        <w:t xml:space="preserve">
      Миссия Программы развития: </w:t>
      </w:r>
    </w:p>
    <w:bookmarkEnd w:id="90"/>
    <w:bookmarkStart w:name="z107" w:id="91"/>
    <w:p>
      <w:pPr>
        <w:spacing w:after="0"/>
        <w:ind w:left="0"/>
        <w:jc w:val="both"/>
      </w:pPr>
      <w:r>
        <w:rPr>
          <w:rFonts w:ascii="Times New Roman"/>
          <w:b w:val="false"/>
          <w:i w:val="false"/>
          <w:color w:val="000000"/>
          <w:sz w:val="28"/>
        </w:rPr>
        <w:t>
      КарУ способствует высокотехнологичному развитию региона и страны через прорывные научные исследования и образовательные инновации.</w:t>
      </w:r>
    </w:p>
    <w:bookmarkEnd w:id="91"/>
    <w:bookmarkStart w:name="z108" w:id="92"/>
    <w:p>
      <w:pPr>
        <w:spacing w:after="0"/>
        <w:ind w:left="0"/>
        <w:jc w:val="both"/>
      </w:pPr>
      <w:r>
        <w:rPr>
          <w:rFonts w:ascii="Times New Roman"/>
          <w:b w:val="false"/>
          <w:i w:val="false"/>
          <w:color w:val="000000"/>
          <w:sz w:val="28"/>
        </w:rPr>
        <w:t>
      Прямой результат реализации Программы развития – развитие ключевых отраслей экономики республики и региона с учетом мировых тенденций и трендов посредством инновационной модернизации предприятий, создания современных технологий, подготовки высококвалифицированных кадров.</w:t>
      </w:r>
    </w:p>
    <w:bookmarkEnd w:id="92"/>
    <w:bookmarkStart w:name="z109" w:id="93"/>
    <w:p>
      <w:pPr>
        <w:spacing w:after="0"/>
        <w:ind w:left="0"/>
        <w:jc w:val="both"/>
      </w:pPr>
      <w:r>
        <w:rPr>
          <w:rFonts w:ascii="Times New Roman"/>
          <w:b w:val="false"/>
          <w:i w:val="false"/>
          <w:color w:val="000000"/>
          <w:sz w:val="28"/>
        </w:rPr>
        <w:t>
      Ценности Программы развития:</w:t>
      </w:r>
    </w:p>
    <w:bookmarkEnd w:id="93"/>
    <w:bookmarkStart w:name="z110" w:id="94"/>
    <w:p>
      <w:pPr>
        <w:spacing w:after="0"/>
        <w:ind w:left="0"/>
        <w:jc w:val="both"/>
      </w:pPr>
      <w:r>
        <w:rPr>
          <w:rFonts w:ascii="Times New Roman"/>
          <w:b w:val="false"/>
          <w:i w:val="false"/>
          <w:color w:val="000000"/>
          <w:sz w:val="28"/>
        </w:rPr>
        <w:t>
      1) подготовка кадров для инновационных отраслей экономики страны с учетом Атласа новых профессий;</w:t>
      </w:r>
    </w:p>
    <w:bookmarkEnd w:id="94"/>
    <w:bookmarkStart w:name="z111" w:id="95"/>
    <w:p>
      <w:pPr>
        <w:spacing w:after="0"/>
        <w:ind w:left="0"/>
        <w:jc w:val="both"/>
      </w:pPr>
      <w:r>
        <w:rPr>
          <w:rFonts w:ascii="Times New Roman"/>
          <w:b w:val="false"/>
          <w:i w:val="false"/>
          <w:color w:val="000000"/>
          <w:sz w:val="28"/>
        </w:rPr>
        <w:t>
      2) генерация новых знаний и инноваций;</w:t>
      </w:r>
    </w:p>
    <w:bookmarkEnd w:id="95"/>
    <w:bookmarkStart w:name="z112" w:id="96"/>
    <w:p>
      <w:pPr>
        <w:spacing w:after="0"/>
        <w:ind w:left="0"/>
        <w:jc w:val="both"/>
      </w:pPr>
      <w:r>
        <w:rPr>
          <w:rFonts w:ascii="Times New Roman"/>
          <w:b w:val="false"/>
          <w:i w:val="false"/>
          <w:color w:val="000000"/>
          <w:sz w:val="28"/>
        </w:rPr>
        <w:t>
      3) развитие конкурентоспособной личности для служения государству и обществу;</w:t>
      </w:r>
    </w:p>
    <w:bookmarkEnd w:id="96"/>
    <w:bookmarkStart w:name="z113" w:id="97"/>
    <w:p>
      <w:pPr>
        <w:spacing w:after="0"/>
        <w:ind w:left="0"/>
        <w:jc w:val="both"/>
      </w:pPr>
      <w:r>
        <w:rPr>
          <w:rFonts w:ascii="Times New Roman"/>
          <w:b w:val="false"/>
          <w:i w:val="false"/>
          <w:color w:val="000000"/>
          <w:sz w:val="28"/>
        </w:rPr>
        <w:t>
      4) подготовка молодых ученых на уровне магистратуры и докторантуры, владеющих набором исследовательских компетенций, в соответствии с международными стандартами высшего и (или) послевузовского образования;</w:t>
      </w:r>
    </w:p>
    <w:bookmarkEnd w:id="97"/>
    <w:bookmarkStart w:name="z114" w:id="98"/>
    <w:p>
      <w:pPr>
        <w:spacing w:after="0"/>
        <w:ind w:left="0"/>
        <w:jc w:val="both"/>
      </w:pPr>
      <w:r>
        <w:rPr>
          <w:rFonts w:ascii="Times New Roman"/>
          <w:b w:val="false"/>
          <w:i w:val="false"/>
          <w:color w:val="000000"/>
          <w:sz w:val="28"/>
        </w:rPr>
        <w:t xml:space="preserve">
      5) проведение научных исследований в области инновационной модернизации экономических секторов в условиях "зеленой" экономики, внедрение аддитивного производства, оптимизация систем контроля и управления производством, создание и разработка новых материалов многофункционального назначения с участием ППС КарУ, студентов, магистрантов, докторантов, представителей хозяйствующих субъектов; </w:t>
      </w:r>
    </w:p>
    <w:bookmarkEnd w:id="98"/>
    <w:bookmarkStart w:name="z115" w:id="99"/>
    <w:p>
      <w:pPr>
        <w:spacing w:after="0"/>
        <w:ind w:left="0"/>
        <w:jc w:val="both"/>
      </w:pPr>
      <w:r>
        <w:rPr>
          <w:rFonts w:ascii="Times New Roman"/>
          <w:b w:val="false"/>
          <w:i w:val="false"/>
          <w:color w:val="000000"/>
          <w:sz w:val="28"/>
        </w:rPr>
        <w:t>
      6) оказание маркетинговых и инжиниринговых услуг хозяйствующим субъектам в области инновационной модернизации и "зеленых" технологий;</w:t>
      </w:r>
    </w:p>
    <w:bookmarkEnd w:id="99"/>
    <w:bookmarkStart w:name="z116" w:id="100"/>
    <w:p>
      <w:pPr>
        <w:spacing w:after="0"/>
        <w:ind w:left="0"/>
        <w:jc w:val="both"/>
      </w:pPr>
      <w:r>
        <w:rPr>
          <w:rFonts w:ascii="Times New Roman"/>
          <w:b w:val="false"/>
          <w:i w:val="false"/>
          <w:color w:val="000000"/>
          <w:sz w:val="28"/>
        </w:rPr>
        <w:t>
      7) проведение в КарУ институциональных и общественных изменений, приводящих к созданию принципиально новых структур – центров, направленных на внедрение корпоративной политики, соответствующих принципам устойчивого развития;</w:t>
      </w:r>
    </w:p>
    <w:bookmarkEnd w:id="100"/>
    <w:bookmarkStart w:name="z117" w:id="101"/>
    <w:p>
      <w:pPr>
        <w:spacing w:after="0"/>
        <w:ind w:left="0"/>
        <w:jc w:val="both"/>
      </w:pPr>
      <w:r>
        <w:rPr>
          <w:rFonts w:ascii="Times New Roman"/>
          <w:b w:val="false"/>
          <w:i w:val="false"/>
          <w:color w:val="000000"/>
          <w:sz w:val="28"/>
        </w:rPr>
        <w:t>
      8) создание условий для организации международных консорциумов с привлечением ведущих зарубежных исследователей.</w:t>
      </w:r>
    </w:p>
    <w:bookmarkEnd w:id="101"/>
    <w:p>
      <w:pPr>
        <w:spacing w:after="0"/>
        <w:ind w:left="0"/>
        <w:jc w:val="both"/>
      </w:pPr>
      <w:r>
        <w:rPr>
          <w:rFonts w:ascii="Times New Roman"/>
          <w:b/>
          <w:i w:val="false"/>
          <w:color w:val="000000"/>
          <w:sz w:val="28"/>
        </w:rPr>
        <w:t>Раздел 4. Стратегические приоритеты некоммерческого акционерного общества "Карагандинский университет имени академика Е.А. Букетова"</w:t>
      </w:r>
    </w:p>
    <w:bookmarkStart w:name="z119" w:id="102"/>
    <w:p>
      <w:pPr>
        <w:spacing w:after="0"/>
        <w:ind w:left="0"/>
        <w:jc w:val="both"/>
      </w:pPr>
      <w:r>
        <w:rPr>
          <w:rFonts w:ascii="Times New Roman"/>
          <w:b w:val="false"/>
          <w:i w:val="false"/>
          <w:color w:val="000000"/>
          <w:sz w:val="28"/>
        </w:rPr>
        <w:t>
      Вклад КарУ в развитие общества многоаспектен и охватывает различные сферы:</w:t>
      </w:r>
    </w:p>
    <w:bookmarkEnd w:id="102"/>
    <w:bookmarkStart w:name="z120" w:id="103"/>
    <w:p>
      <w:pPr>
        <w:spacing w:after="0"/>
        <w:ind w:left="0"/>
        <w:jc w:val="both"/>
      </w:pPr>
      <w:r>
        <w:rPr>
          <w:rFonts w:ascii="Times New Roman"/>
          <w:b w:val="false"/>
          <w:i w:val="false"/>
          <w:color w:val="000000"/>
          <w:sz w:val="28"/>
        </w:rPr>
        <w:t>
      1. Образовательный вклад.</w:t>
      </w:r>
    </w:p>
    <w:bookmarkEnd w:id="103"/>
    <w:bookmarkStart w:name="z121" w:id="104"/>
    <w:p>
      <w:pPr>
        <w:spacing w:after="0"/>
        <w:ind w:left="0"/>
        <w:jc w:val="both"/>
      </w:pPr>
      <w:r>
        <w:rPr>
          <w:rFonts w:ascii="Times New Roman"/>
          <w:b w:val="false"/>
          <w:i w:val="false"/>
          <w:color w:val="000000"/>
          <w:sz w:val="28"/>
        </w:rPr>
        <w:t>
      В рамках академического развития КарУ придерживается стратегии по укреплению качественной подготовки конкурентоспособных выпускников, которые соответствуют требованиям современного рынка труда. Это достигается благодаря академической политике КарУ, которая направлена на реализацию миссии и видения университета, а также его стратегических целей развития. Особое внимание уделяется соблюдению принципов академической честности, что обеспечивает высокий уровень доверия к образовательным программам и квалификации выпускников.</w:t>
      </w:r>
    </w:p>
    <w:bookmarkEnd w:id="104"/>
    <w:bookmarkStart w:name="z122" w:id="105"/>
    <w:p>
      <w:pPr>
        <w:spacing w:after="0"/>
        <w:ind w:left="0"/>
        <w:jc w:val="both"/>
      </w:pPr>
      <w:r>
        <w:rPr>
          <w:rFonts w:ascii="Times New Roman"/>
          <w:b w:val="false"/>
          <w:i w:val="false"/>
          <w:color w:val="000000"/>
          <w:sz w:val="28"/>
        </w:rPr>
        <w:t>
      2. Научный вклад.</w:t>
      </w:r>
    </w:p>
    <w:bookmarkEnd w:id="105"/>
    <w:bookmarkStart w:name="z123" w:id="106"/>
    <w:p>
      <w:pPr>
        <w:spacing w:after="0"/>
        <w:ind w:left="0"/>
        <w:jc w:val="both"/>
      </w:pPr>
      <w:r>
        <w:rPr>
          <w:rFonts w:ascii="Times New Roman"/>
          <w:b w:val="false"/>
          <w:i w:val="false"/>
          <w:color w:val="000000"/>
          <w:sz w:val="28"/>
        </w:rPr>
        <w:t>
      КарУ активно занимается фундаментальными и прикладными исследованиями в различных областях науки, техники и технологий, с особым вниманием к приоритетным направлениям развития науки. Одной из ключевых задач исследовательского университета является обеспечение эффективного трансфера технологий в реальный сектор экономики, что способствует инновационному развитию и повышению конкурентоспособности страны.</w:t>
      </w:r>
    </w:p>
    <w:bookmarkEnd w:id="106"/>
    <w:bookmarkStart w:name="z124" w:id="107"/>
    <w:p>
      <w:pPr>
        <w:spacing w:after="0"/>
        <w:ind w:left="0"/>
        <w:jc w:val="both"/>
      </w:pPr>
      <w:r>
        <w:rPr>
          <w:rFonts w:ascii="Times New Roman"/>
          <w:b w:val="false"/>
          <w:i w:val="false"/>
          <w:color w:val="000000"/>
          <w:sz w:val="28"/>
        </w:rPr>
        <w:t>
      КарУ также концентрирует усилия на подготовке высококвалифицированных магистров и докторов PhD, докторов по профилю. В дополнение к этому КарУ придерживается и продвигает принципы научной этики, обеспечивая честность, прозрачность и ответственность в научных исследованиях и публикациях.</w:t>
      </w:r>
    </w:p>
    <w:bookmarkEnd w:id="107"/>
    <w:bookmarkStart w:name="z125" w:id="108"/>
    <w:p>
      <w:pPr>
        <w:spacing w:after="0"/>
        <w:ind w:left="0"/>
        <w:jc w:val="both"/>
      </w:pPr>
      <w:r>
        <w:rPr>
          <w:rFonts w:ascii="Times New Roman"/>
          <w:b w:val="false"/>
          <w:i w:val="false"/>
          <w:color w:val="000000"/>
          <w:sz w:val="28"/>
        </w:rPr>
        <w:t>
      Коммерциализация научных разработок и технологий в КарУ представляет собой системный процесс, направленный на превращение исследовательских находок в конкурентоспособные продукты и услуги, которые могут найти свое применение в промышленности и других секторах экономики.</w:t>
      </w:r>
    </w:p>
    <w:bookmarkEnd w:id="108"/>
    <w:bookmarkStart w:name="z126" w:id="109"/>
    <w:p>
      <w:pPr>
        <w:spacing w:after="0"/>
        <w:ind w:left="0"/>
        <w:jc w:val="both"/>
      </w:pPr>
      <w:r>
        <w:rPr>
          <w:rFonts w:ascii="Times New Roman"/>
          <w:b w:val="false"/>
          <w:i w:val="false"/>
          <w:color w:val="000000"/>
          <w:sz w:val="28"/>
        </w:rPr>
        <w:t>
      Крупными внешними заказчиками исследований КарУ являются компании – ТОО "Clean Field Kazakhstan", ТОО "Национальный центр биотехнологий", ТОО "Археологические исследования", ТОО "Минова Казахстан", КГУ "Центр по сохранению историко-культурного наследия" управления культуры, архивов и документации Карагандинской области, КГУ "Қоғамдық келісім" управления внутренней политики Карагандинской области, РГП на ПХВ "Мангышлакский экспериментальный ботанический сад" Комитета науки МНВО и др.</w:t>
      </w:r>
    </w:p>
    <w:bookmarkEnd w:id="109"/>
    <w:bookmarkStart w:name="z127" w:id="110"/>
    <w:p>
      <w:pPr>
        <w:spacing w:after="0"/>
        <w:ind w:left="0"/>
        <w:jc w:val="both"/>
      </w:pPr>
      <w:r>
        <w:rPr>
          <w:rFonts w:ascii="Times New Roman"/>
          <w:b w:val="false"/>
          <w:i w:val="false"/>
          <w:color w:val="000000"/>
          <w:sz w:val="28"/>
        </w:rPr>
        <w:t>
      Так, по заказу ТОО "Национальный центр биотехнологий" проводятся работы по изучению современного состояния видового разнообразия сосудистых растений Казахстана с использованием современных методов ботаники, молекулярной генетики и биоинформатики. Учеными химического факультета КарУ для ТОО "Clean Field Kazakhstan" проводятся работы по ультразвуковой обработке нефтепродуктов с последующим физико-химическим анализом исходного материала и полученных продуктов. А также ведутся исследования по заказу ведущих металлургических компаний АО "QARMET", ТОО "Корпорация Казахмыс", ERG Group.</w:t>
      </w:r>
    </w:p>
    <w:bookmarkEnd w:id="110"/>
    <w:bookmarkStart w:name="z128" w:id="111"/>
    <w:p>
      <w:pPr>
        <w:spacing w:after="0"/>
        <w:ind w:left="0"/>
        <w:jc w:val="both"/>
      </w:pPr>
      <w:r>
        <w:rPr>
          <w:rFonts w:ascii="Times New Roman"/>
          <w:b w:val="false"/>
          <w:i w:val="false"/>
          <w:color w:val="000000"/>
          <w:sz w:val="28"/>
        </w:rPr>
        <w:t xml:space="preserve">
      В 2023 году учеными КарУ реализовано 21 хоздоговорных работ на общую сумму 197 миллионов тенге. </w:t>
      </w:r>
    </w:p>
    <w:bookmarkEnd w:id="111"/>
    <w:bookmarkStart w:name="z129" w:id="112"/>
    <w:p>
      <w:pPr>
        <w:spacing w:after="0"/>
        <w:ind w:left="0"/>
        <w:jc w:val="both"/>
      </w:pPr>
      <w:r>
        <w:rPr>
          <w:rFonts w:ascii="Times New Roman"/>
          <w:b w:val="false"/>
          <w:i w:val="false"/>
          <w:color w:val="000000"/>
          <w:sz w:val="28"/>
        </w:rPr>
        <w:t>
      Ведется активная работа по защите интеллектуальной собственности. За 2023 год получено 98 охранных документов, из них 7 патентов Республики Казахстан, 91 авторских свидетельств о государственной регистрации авторских прав на объекты интеллектуальной собственности. Совместно с Национальным институтом интеллектуальной собственности ведется консультационная работа ученым по оформлению документов интеллектуальной собственности.</w:t>
      </w:r>
    </w:p>
    <w:bookmarkEnd w:id="112"/>
    <w:bookmarkStart w:name="z130" w:id="113"/>
    <w:p>
      <w:pPr>
        <w:spacing w:after="0"/>
        <w:ind w:left="0"/>
        <w:jc w:val="both"/>
      </w:pPr>
      <w:r>
        <w:rPr>
          <w:rFonts w:ascii="Times New Roman"/>
          <w:b w:val="false"/>
          <w:i w:val="false"/>
          <w:color w:val="000000"/>
          <w:sz w:val="28"/>
        </w:rPr>
        <w:t>
      3. Социальный вклад.</w:t>
      </w:r>
    </w:p>
    <w:bookmarkEnd w:id="113"/>
    <w:bookmarkStart w:name="z131" w:id="114"/>
    <w:p>
      <w:pPr>
        <w:spacing w:after="0"/>
        <w:ind w:left="0"/>
        <w:jc w:val="both"/>
      </w:pPr>
      <w:r>
        <w:rPr>
          <w:rFonts w:ascii="Times New Roman"/>
          <w:b w:val="false"/>
          <w:i w:val="false"/>
          <w:color w:val="000000"/>
          <w:sz w:val="28"/>
        </w:rPr>
        <w:t>
      КарУ ведет активную социальную работу, включая поддержку социально уязвимых слоев населения, проведение культурных и образовательных мероприятий, а также вклад в развитие локального сообщества.</w:t>
      </w:r>
    </w:p>
    <w:bookmarkEnd w:id="114"/>
    <w:bookmarkStart w:name="z132" w:id="115"/>
    <w:p>
      <w:pPr>
        <w:spacing w:after="0"/>
        <w:ind w:left="0"/>
        <w:jc w:val="both"/>
      </w:pPr>
      <w:r>
        <w:rPr>
          <w:rFonts w:ascii="Times New Roman"/>
          <w:b w:val="false"/>
          <w:i w:val="false"/>
          <w:color w:val="000000"/>
          <w:sz w:val="28"/>
        </w:rPr>
        <w:t>
      Система социальной поддержки КарУ охватывает не только ключевые элементы благополучия студентов, но также включает в себя аспекты устойчивого развития, равенства, разнообразия и инклюзивности:</w:t>
      </w:r>
    </w:p>
    <w:bookmarkEnd w:id="115"/>
    <w:bookmarkStart w:name="z133" w:id="116"/>
    <w:p>
      <w:pPr>
        <w:spacing w:after="0"/>
        <w:ind w:left="0"/>
        <w:jc w:val="both"/>
      </w:pPr>
      <w:r>
        <w:rPr>
          <w:rFonts w:ascii="Times New Roman"/>
          <w:b w:val="false"/>
          <w:i w:val="false"/>
          <w:color w:val="000000"/>
          <w:sz w:val="28"/>
        </w:rPr>
        <w:t>
      1) гибкая система льгот: КарУ предоставляет различные скидки на обучение для студентов из социально уязвимых слоев населения и талантливой молодежи;</w:t>
      </w:r>
    </w:p>
    <w:bookmarkEnd w:id="116"/>
    <w:bookmarkStart w:name="z134" w:id="117"/>
    <w:p>
      <w:pPr>
        <w:spacing w:after="0"/>
        <w:ind w:left="0"/>
        <w:jc w:val="both"/>
      </w:pPr>
      <w:r>
        <w:rPr>
          <w:rFonts w:ascii="Times New Roman"/>
          <w:b w:val="false"/>
          <w:i w:val="false"/>
          <w:color w:val="000000"/>
          <w:sz w:val="28"/>
        </w:rPr>
        <w:t>
      2) политика равенства, разнообразия и инклюзивности: реализация мер по созданию инклюзивной и диверсифицированной образовательной среды, где уважаются и ценятся различия и поддерживается равенство возможностей для всех студентов и сотрудников. Активное внедрение принципов инклюзивного образования для студентов с особыми потребностями. Обеспечение доступности всех учебных пространств;</w:t>
      </w:r>
    </w:p>
    <w:bookmarkEnd w:id="117"/>
    <w:bookmarkStart w:name="z135" w:id="118"/>
    <w:p>
      <w:pPr>
        <w:spacing w:after="0"/>
        <w:ind w:left="0"/>
        <w:jc w:val="both"/>
      </w:pPr>
      <w:r>
        <w:rPr>
          <w:rFonts w:ascii="Times New Roman"/>
          <w:b w:val="false"/>
          <w:i w:val="false"/>
          <w:color w:val="000000"/>
          <w:sz w:val="28"/>
        </w:rPr>
        <w:t>
      3) психологическая поддержка: функционирование службы психологической помощи, а также других специализированных структур;</w:t>
      </w:r>
    </w:p>
    <w:bookmarkEnd w:id="118"/>
    <w:bookmarkStart w:name="z136" w:id="119"/>
    <w:p>
      <w:pPr>
        <w:spacing w:after="0"/>
        <w:ind w:left="0"/>
        <w:jc w:val="both"/>
      </w:pPr>
      <w:r>
        <w:rPr>
          <w:rFonts w:ascii="Times New Roman"/>
          <w:b w:val="false"/>
          <w:i w:val="false"/>
          <w:color w:val="000000"/>
          <w:sz w:val="28"/>
        </w:rPr>
        <w:t>
      4) цели устойчивого развития: интеграция принципов устойчивого развития в учебные программы и исследовательскую деятельность, способствующая формированию экологической ответственности и социального вовлечения;</w:t>
      </w:r>
    </w:p>
    <w:bookmarkEnd w:id="119"/>
    <w:bookmarkStart w:name="z137" w:id="120"/>
    <w:p>
      <w:pPr>
        <w:spacing w:after="0"/>
        <w:ind w:left="0"/>
        <w:jc w:val="both"/>
      </w:pPr>
      <w:r>
        <w:rPr>
          <w:rFonts w:ascii="Times New Roman"/>
          <w:b w:val="false"/>
          <w:i w:val="false"/>
          <w:color w:val="000000"/>
          <w:sz w:val="28"/>
        </w:rPr>
        <w:t>
      5) вклад в развитие инноваций: КарУ активно работает над созданием и развитием инновационной инфраструктуры, включая технопарки, бизнес-инкубаторы и исследовательские центры, способствуя трансферу технологий и коммерциализации научных разработок;</w:t>
      </w:r>
    </w:p>
    <w:bookmarkEnd w:id="120"/>
    <w:bookmarkStart w:name="z138" w:id="121"/>
    <w:p>
      <w:pPr>
        <w:spacing w:after="0"/>
        <w:ind w:left="0"/>
        <w:jc w:val="both"/>
      </w:pPr>
      <w:r>
        <w:rPr>
          <w:rFonts w:ascii="Times New Roman"/>
          <w:b w:val="false"/>
          <w:i w:val="false"/>
          <w:color w:val="000000"/>
          <w:sz w:val="28"/>
        </w:rPr>
        <w:t>
      6) международный вклад: КарУ участвует в международных образовательных и научных проектах, способствуя расширению межкультурного обмена и сотрудничества в глобальном масштабе.</w:t>
      </w:r>
    </w:p>
    <w:bookmarkEnd w:id="121"/>
    <w:bookmarkStart w:name="z139" w:id="122"/>
    <w:p>
      <w:pPr>
        <w:spacing w:after="0"/>
        <w:ind w:left="0"/>
        <w:jc w:val="both"/>
      </w:pPr>
      <w:r>
        <w:rPr>
          <w:rFonts w:ascii="Times New Roman"/>
          <w:b w:val="false"/>
          <w:i w:val="false"/>
          <w:color w:val="000000"/>
          <w:sz w:val="28"/>
        </w:rPr>
        <w:t>
      Таким образом, КарУ играет значительную роль в социально-экономическом, научном и культурном развитии общества, способствуя повышению его потенциала и улучшению качества жизни населения.</w:t>
      </w:r>
    </w:p>
    <w:bookmarkEnd w:id="122"/>
    <w:p>
      <w:pPr>
        <w:spacing w:after="0"/>
        <w:ind w:left="0"/>
        <w:jc w:val="both"/>
      </w:pPr>
      <w:r>
        <w:rPr>
          <w:rFonts w:ascii="Times New Roman"/>
          <w:b/>
          <w:i w:val="false"/>
          <w:color w:val="000000"/>
          <w:sz w:val="28"/>
        </w:rPr>
        <w:t>Раздел 5. Пути достижения поставленной цели Программы развития некоммерческого акционерного общества "Карагандинский университет имени академика Е.А. Букетова"</w:t>
      </w:r>
    </w:p>
    <w:bookmarkStart w:name="z141" w:id="123"/>
    <w:p>
      <w:pPr>
        <w:spacing w:after="0"/>
        <w:ind w:left="0"/>
        <w:jc w:val="both"/>
      </w:pPr>
      <w:r>
        <w:rPr>
          <w:rFonts w:ascii="Times New Roman"/>
          <w:b w:val="false"/>
          <w:i w:val="false"/>
          <w:color w:val="000000"/>
          <w:sz w:val="28"/>
        </w:rPr>
        <w:t>
      Для достижения целевых установок Программы развития КарУ планируется проведение мероприятий по следующим стратегическим направлениям:</w:t>
      </w:r>
    </w:p>
    <w:bookmarkEnd w:id="123"/>
    <w:bookmarkStart w:name="z142" w:id="124"/>
    <w:p>
      <w:pPr>
        <w:spacing w:after="0"/>
        <w:ind w:left="0"/>
        <w:jc w:val="both"/>
      </w:pPr>
      <w:r>
        <w:rPr>
          <w:rFonts w:ascii="Times New Roman"/>
          <w:b w:val="false"/>
          <w:i w:val="false"/>
          <w:color w:val="000000"/>
          <w:sz w:val="28"/>
        </w:rPr>
        <w:t>
      1) коллаборация с отечественными и зарубежными исследовательскими университетами для обмена опытом в менеджменте, интернационализации образования, научного сотрудничества и создания совместных проектов в инновационных областях;</w:t>
      </w:r>
    </w:p>
    <w:bookmarkEnd w:id="124"/>
    <w:bookmarkStart w:name="z143" w:id="125"/>
    <w:p>
      <w:pPr>
        <w:spacing w:after="0"/>
        <w:ind w:left="0"/>
        <w:jc w:val="both"/>
      </w:pPr>
      <w:r>
        <w:rPr>
          <w:rFonts w:ascii="Times New Roman"/>
          <w:b w:val="false"/>
          <w:i w:val="false"/>
          <w:color w:val="000000"/>
          <w:sz w:val="28"/>
        </w:rPr>
        <w:t>
      2) интеграция и взаимодействие с региональным сообществом, неправительственными организациями, местными исполнительными органами и другими стейкхолдерами с целью расширения влияния прогрессивных идей, современных технологий на общество и промышленность региона;</w:t>
      </w:r>
    </w:p>
    <w:bookmarkEnd w:id="125"/>
    <w:bookmarkStart w:name="z144" w:id="126"/>
    <w:p>
      <w:pPr>
        <w:spacing w:after="0"/>
        <w:ind w:left="0"/>
        <w:jc w:val="both"/>
      </w:pPr>
      <w:r>
        <w:rPr>
          <w:rFonts w:ascii="Times New Roman"/>
          <w:b w:val="false"/>
          <w:i w:val="false"/>
          <w:color w:val="000000"/>
          <w:sz w:val="28"/>
        </w:rPr>
        <w:t>
      3) реализация фундаментальных и прикладных проектов в направлении устойчивого развития, "зеленых" технологий, развития искусственного интеллекта, социальной адаптации человека в условиях цифровизации общества и окружающего мира;</w:t>
      </w:r>
    </w:p>
    <w:bookmarkEnd w:id="126"/>
    <w:bookmarkStart w:name="z145" w:id="127"/>
    <w:p>
      <w:pPr>
        <w:spacing w:after="0"/>
        <w:ind w:left="0"/>
        <w:jc w:val="both"/>
      </w:pPr>
      <w:r>
        <w:rPr>
          <w:rFonts w:ascii="Times New Roman"/>
          <w:b w:val="false"/>
          <w:i w:val="false"/>
          <w:color w:val="000000"/>
          <w:sz w:val="28"/>
        </w:rPr>
        <w:t>
      4) принятие мер и организация мероприятий для формирования и развития у обучающихся патриотизма, религиозной, межэтнической и межконфессиональной толерантности, приверженности целям устойчивого развития;</w:t>
      </w:r>
    </w:p>
    <w:bookmarkEnd w:id="127"/>
    <w:bookmarkStart w:name="z146" w:id="128"/>
    <w:p>
      <w:pPr>
        <w:spacing w:after="0"/>
        <w:ind w:left="0"/>
        <w:jc w:val="both"/>
      </w:pPr>
      <w:r>
        <w:rPr>
          <w:rFonts w:ascii="Times New Roman"/>
          <w:b w:val="false"/>
          <w:i w:val="false"/>
          <w:color w:val="000000"/>
          <w:sz w:val="28"/>
        </w:rPr>
        <w:t>
      5) развитие всех уровней образования, направленное на освоение выпускниками фундаментальных знаний, отражающих современный уровень науки, и формирование у них hard-, soft- и digital skills, творческих навыков и предпринимательских качеств;</w:t>
      </w:r>
    </w:p>
    <w:bookmarkEnd w:id="128"/>
    <w:bookmarkStart w:name="z147" w:id="129"/>
    <w:p>
      <w:pPr>
        <w:spacing w:after="0"/>
        <w:ind w:left="0"/>
        <w:jc w:val="both"/>
      </w:pPr>
      <w:r>
        <w:rPr>
          <w:rFonts w:ascii="Times New Roman"/>
          <w:b w:val="false"/>
          <w:i w:val="false"/>
          <w:color w:val="000000"/>
          <w:sz w:val="28"/>
        </w:rPr>
        <w:t>
      6) совершенствование цифровой образовательной среды и построение образовательной экосистемы на примере лучших мировых практик;</w:t>
      </w:r>
    </w:p>
    <w:bookmarkEnd w:id="129"/>
    <w:bookmarkStart w:name="z148" w:id="130"/>
    <w:p>
      <w:pPr>
        <w:spacing w:after="0"/>
        <w:ind w:left="0"/>
        <w:jc w:val="both"/>
      </w:pPr>
      <w:r>
        <w:rPr>
          <w:rFonts w:ascii="Times New Roman"/>
          <w:b w:val="false"/>
          <w:i w:val="false"/>
          <w:color w:val="000000"/>
          <w:sz w:val="28"/>
        </w:rPr>
        <w:t>
      7) совершенствование системы отбора абитуриентов и расширение географии приема студентов, магистрантов и докторантов;</w:t>
      </w:r>
    </w:p>
    <w:bookmarkEnd w:id="130"/>
    <w:bookmarkStart w:name="z149" w:id="131"/>
    <w:p>
      <w:pPr>
        <w:spacing w:after="0"/>
        <w:ind w:left="0"/>
        <w:jc w:val="both"/>
      </w:pPr>
      <w:r>
        <w:rPr>
          <w:rFonts w:ascii="Times New Roman"/>
          <w:b w:val="false"/>
          <w:i w:val="false"/>
          <w:color w:val="000000"/>
          <w:sz w:val="28"/>
        </w:rPr>
        <w:t>
      8) трансформация академической среды, системы управления образовательными программами КарУ через создание меж- и трансдисциплинарных подходов обучения, в том числе с привлечением специалистов других университетов и научно-исследовательских институтов страны и зарубежья;</w:t>
      </w:r>
    </w:p>
    <w:bookmarkEnd w:id="131"/>
    <w:bookmarkStart w:name="z150" w:id="132"/>
    <w:p>
      <w:pPr>
        <w:spacing w:after="0"/>
        <w:ind w:left="0"/>
        <w:jc w:val="both"/>
      </w:pPr>
      <w:r>
        <w:rPr>
          <w:rFonts w:ascii="Times New Roman"/>
          <w:b w:val="false"/>
          <w:i w:val="false"/>
          <w:color w:val="000000"/>
          <w:sz w:val="28"/>
        </w:rPr>
        <w:t>
      9) создание современной инфраструктуры КарУ, модернизация материально-технического и лабораторного комплекса;</w:t>
      </w:r>
    </w:p>
    <w:bookmarkEnd w:id="132"/>
    <w:bookmarkStart w:name="z151" w:id="133"/>
    <w:p>
      <w:pPr>
        <w:spacing w:after="0"/>
        <w:ind w:left="0"/>
        <w:jc w:val="both"/>
      </w:pPr>
      <w:r>
        <w:rPr>
          <w:rFonts w:ascii="Times New Roman"/>
          <w:b w:val="false"/>
          <w:i w:val="false"/>
          <w:color w:val="000000"/>
          <w:sz w:val="28"/>
        </w:rPr>
        <w:t>
      10) усиление комплексной праворазъяснительной работы среди обучающихся и работников КарУ, направленной на повышение правовой грамотности и формирование нулевой терпимости к любым проявлением коррупции;</w:t>
      </w:r>
    </w:p>
    <w:bookmarkEnd w:id="133"/>
    <w:bookmarkStart w:name="z152" w:id="134"/>
    <w:p>
      <w:pPr>
        <w:spacing w:after="0"/>
        <w:ind w:left="0"/>
        <w:jc w:val="both"/>
      </w:pPr>
      <w:r>
        <w:rPr>
          <w:rFonts w:ascii="Times New Roman"/>
          <w:b w:val="false"/>
          <w:i w:val="false"/>
          <w:color w:val="000000"/>
          <w:sz w:val="28"/>
        </w:rPr>
        <w:t>
      11) улучшение взаимодействия с уполномоченным территориальным органом по противодействию коррупции, другими государственными органами и общественными организациями по вопросам предупреждения коррупции, выработке совместных предложений по совершенствованию антикоррупционного законодательства.</w:t>
      </w:r>
    </w:p>
    <w:bookmarkEnd w:id="134"/>
    <w:bookmarkStart w:name="z153" w:id="135"/>
    <w:p>
      <w:pPr>
        <w:spacing w:after="0"/>
        <w:ind w:left="0"/>
        <w:jc w:val="both"/>
      </w:pPr>
      <w:r>
        <w:rPr>
          <w:rFonts w:ascii="Times New Roman"/>
          <w:b w:val="false"/>
          <w:i w:val="false"/>
          <w:color w:val="000000"/>
          <w:sz w:val="28"/>
        </w:rPr>
        <w:t>
      КарУ имеет значительный потенциал для развития. Так, за счет собственных средств за последние годы построена инновационная термос-теплица площадью 247,16 м</w:t>
      </w:r>
      <w:r>
        <w:rPr>
          <w:rFonts w:ascii="Times New Roman"/>
          <w:b w:val="false"/>
          <w:i w:val="false"/>
          <w:color w:val="000000"/>
          <w:vertAlign w:val="superscript"/>
        </w:rPr>
        <w:t>2</w:t>
      </w:r>
      <w:r>
        <w:rPr>
          <w:rFonts w:ascii="Times New Roman"/>
          <w:b w:val="false"/>
          <w:i w:val="false"/>
          <w:color w:val="000000"/>
          <w:sz w:val="28"/>
        </w:rPr>
        <w:t>, проведена реконструкция здания здравпункта в общежитии для студентов на 132 места, начато строительство нового общежития на 500 мест. Также завершается строительство научного технопарка ориентировочной площадью 2000 м</w:t>
      </w:r>
      <w:r>
        <w:rPr>
          <w:rFonts w:ascii="Times New Roman"/>
          <w:b w:val="false"/>
          <w:i w:val="false"/>
          <w:color w:val="000000"/>
          <w:vertAlign w:val="superscript"/>
        </w:rPr>
        <w:t>2</w:t>
      </w:r>
      <w:r>
        <w:rPr>
          <w:rFonts w:ascii="Times New Roman"/>
          <w:b w:val="false"/>
          <w:i w:val="false"/>
          <w:color w:val="000000"/>
          <w:sz w:val="28"/>
        </w:rPr>
        <w:t>. Строительство научного технопарка позволит создать региональный технополис как единую межотраслевую научно-образовательную и производственно-технологическую платформу для территориальной интеграции высшего образования, инновационной науки и диверсифицированного производства Центрально-Казахстанского региона в соответствии с приоритетами устойчивого стратегического развития в условиях глобализации "экономики знаний" и "зеленого роста". Планируется создание центра компетенций в области альтернативных источников энергии (солнечная, ветровая и геотермальная энергия, производство водорода), аналитической лаборатории для нужд горнодобывающей промышленности и разработки новых наноматериалов.</w:t>
      </w:r>
    </w:p>
    <w:bookmarkEnd w:id="135"/>
    <w:bookmarkStart w:name="z154" w:id="136"/>
    <w:p>
      <w:pPr>
        <w:spacing w:after="0"/>
        <w:ind w:left="0"/>
        <w:jc w:val="both"/>
      </w:pPr>
      <w:r>
        <w:rPr>
          <w:rFonts w:ascii="Times New Roman"/>
          <w:b w:val="false"/>
          <w:i w:val="false"/>
          <w:color w:val="000000"/>
          <w:sz w:val="28"/>
        </w:rPr>
        <w:t xml:space="preserve">
      Как показывает опыт передовых исследовательских университетов Западной Европы и Северной Америки (Harvard University, ETH Zurich, Chicago University и другие), для качественного и эффективного выполнения научно-исследовательских работ R&amp;D необходимо оснащение научного технопарка современным лабораторным оборудованием. Для создания научно-исследовательской экосистемы научного технопарка предусматривается приобретение газового хроматографа Agilent для идентификации водорода и других газов из потока при фоторасщеплении воды, дифрактометра порошкового с твердотельным трехмерным детектором PIXcel3D, рентгенофлуоресцентного спектрометра, ЭПР-спектрометра, мультидетекторной системы гель-проникающей хроматографии 1260 Infinity II Multi-Detector GPC/SEC Agilent Technologies, масс-спектрометра с индуктивно-связанной плазмой и других. </w:t>
      </w:r>
    </w:p>
    <w:bookmarkEnd w:id="136"/>
    <w:bookmarkStart w:name="z155" w:id="137"/>
    <w:p>
      <w:pPr>
        <w:spacing w:after="0"/>
        <w:ind w:left="0"/>
        <w:jc w:val="both"/>
      </w:pPr>
      <w:r>
        <w:rPr>
          <w:rFonts w:ascii="Times New Roman"/>
          <w:b w:val="false"/>
          <w:i w:val="false"/>
          <w:color w:val="000000"/>
          <w:sz w:val="28"/>
        </w:rPr>
        <w:t>
      Согласно анализу текущей ситуации, представленной в Концепции, к 2029 году ожидается двухкратный рост количества выпускников школ, что приведет к перегруженности в ОВПО, нехватке квалифицированного ППС, дефициту мест в университетах и общежитиях, возрастанию актуальности формирования современной инфраструктуры, обновления лабораторной базы ОВПО.</w:t>
      </w:r>
    </w:p>
    <w:bookmarkEnd w:id="137"/>
    <w:bookmarkStart w:name="z156" w:id="138"/>
    <w:p>
      <w:pPr>
        <w:spacing w:after="0"/>
        <w:ind w:left="0"/>
        <w:jc w:val="both"/>
      </w:pPr>
      <w:r>
        <w:rPr>
          <w:rFonts w:ascii="Times New Roman"/>
          <w:b w:val="false"/>
          <w:i w:val="false"/>
          <w:color w:val="000000"/>
          <w:sz w:val="28"/>
        </w:rPr>
        <w:t>
      Для еще большего импульса в развитии КарУ планируется строительство специализированного учебно-лабораторного корпуса на 1112 мест для химического факультета.</w:t>
      </w:r>
    </w:p>
    <w:bookmarkEnd w:id="138"/>
    <w:bookmarkStart w:name="z157" w:id="139"/>
    <w:p>
      <w:pPr>
        <w:spacing w:after="0"/>
        <w:ind w:left="0"/>
        <w:jc w:val="both"/>
      </w:pPr>
      <w:r>
        <w:rPr>
          <w:rFonts w:ascii="Times New Roman"/>
          <w:b w:val="false"/>
          <w:i w:val="false"/>
          <w:color w:val="000000"/>
          <w:sz w:val="28"/>
        </w:rPr>
        <w:t>
      Сейчас химический факультет находится в здании общей площадью 3775,5 м</w:t>
      </w:r>
      <w:r>
        <w:rPr>
          <w:rFonts w:ascii="Times New Roman"/>
          <w:b w:val="false"/>
          <w:i w:val="false"/>
          <w:color w:val="000000"/>
          <w:vertAlign w:val="superscript"/>
        </w:rPr>
        <w:t>2</w:t>
      </w:r>
      <w:r>
        <w:rPr>
          <w:rFonts w:ascii="Times New Roman"/>
          <w:b w:val="false"/>
          <w:i w:val="false"/>
          <w:color w:val="000000"/>
          <w:sz w:val="28"/>
        </w:rPr>
        <w:t xml:space="preserve">, этого было достаточно 5 лет назад. За последние годы заказ со стороны государства и соответственно спрос со стороны абитуриентов на химические специальности вырос в разы. Сегодня на химическом факультете обучаются более 1200 человек. Учебный процесс в бакалавриате осуществляется по 8 образовательным программам педагогического, естественно-научного и инженерного направлений подготовки, в магистратуре – по 5 и докторантуре – по одной программе. </w:t>
      </w:r>
    </w:p>
    <w:bookmarkEnd w:id="139"/>
    <w:bookmarkStart w:name="z158" w:id="140"/>
    <w:p>
      <w:pPr>
        <w:spacing w:after="0"/>
        <w:ind w:left="0"/>
        <w:jc w:val="both"/>
      </w:pPr>
      <w:r>
        <w:rPr>
          <w:rFonts w:ascii="Times New Roman"/>
          <w:b w:val="false"/>
          <w:i w:val="false"/>
          <w:color w:val="000000"/>
          <w:sz w:val="28"/>
        </w:rPr>
        <w:t xml:space="preserve">
      Соответственно для качественной подготовки обучающихся нужны специальные помещения, в том числе химические лаборатории, испытательные центры, помещения для полупромышленных установок. Помещения должны соответствовать требованиям международных стандартов Good Laboratory Practice, оснащены специальной мебелью и оборудованием. Данное решение положительно повлияет на все показатели, характеризующие научную и образовательную деятельность. </w:t>
      </w:r>
    </w:p>
    <w:bookmarkEnd w:id="140"/>
    <w:bookmarkStart w:name="z159" w:id="141"/>
    <w:p>
      <w:pPr>
        <w:spacing w:after="0"/>
        <w:ind w:left="0"/>
        <w:jc w:val="both"/>
      </w:pPr>
      <w:r>
        <w:rPr>
          <w:rFonts w:ascii="Times New Roman"/>
          <w:b w:val="false"/>
          <w:i w:val="false"/>
          <w:color w:val="000000"/>
          <w:sz w:val="28"/>
        </w:rPr>
        <w:t>
      В целях реализации Указа Президента Республики Казахстан от 26 февраля 2021 года № 520 "Об Общенациональных приоритетах Республики Казахстан до 2025 года", Стратегии достижения углеродной нейтральности Республики Казахстан до 2060 года, утвержденной Указом Президента Республики Казахстан от 2 февраля 2023 года № 121, и Концепции в КарУ реализуются проекты ученых в направлении создания новых материалов для солнечных батарей, инновационные модели ветровых установок, геотермальных отопительных систем, разработки в области водородной энергетики. В этой связи будет построен испытательный полигон "Альтернативная энергетика", где ученые смогут проводить укрупненные испытания своих разработок. Это будет положительно сказываться на таких показателях, как публикационная активность, участие в международных грантах, и в конечном итоге появится возможность внедрения идей ученых в регионе, например, на солнечных электростанциях фотоэлектрического типа в городах Сарани и Балхаше.</w:t>
      </w:r>
    </w:p>
    <w:bookmarkEnd w:id="141"/>
    <w:bookmarkStart w:name="z160" w:id="142"/>
    <w:p>
      <w:pPr>
        <w:spacing w:after="0"/>
        <w:ind w:left="0"/>
        <w:jc w:val="both"/>
      </w:pPr>
      <w:r>
        <w:rPr>
          <w:rFonts w:ascii="Times New Roman"/>
          <w:b w:val="false"/>
          <w:i w:val="false"/>
          <w:color w:val="000000"/>
          <w:sz w:val="28"/>
        </w:rPr>
        <w:t>
      В рамках реализации миссии университета по вкладу в развитие общества при изучении потребностей КарУ, имеющего факультет физической культуры и спорта, выявилась необходимость строительства уличного открытого стадиона со спортивными площадками и административно-бытовым комплексом.</w:t>
      </w:r>
    </w:p>
    <w:bookmarkEnd w:id="142"/>
    <w:bookmarkStart w:name="z161" w:id="143"/>
    <w:p>
      <w:pPr>
        <w:spacing w:after="0"/>
        <w:ind w:left="0"/>
        <w:jc w:val="both"/>
      </w:pPr>
      <w:r>
        <w:rPr>
          <w:rFonts w:ascii="Times New Roman"/>
          <w:b w:val="false"/>
          <w:i w:val="false"/>
          <w:color w:val="000000"/>
          <w:sz w:val="28"/>
        </w:rPr>
        <w:t xml:space="preserve">
      Кроме того, в последние годы резко возрос спрос на обучение по образовательным программам факультета физической культуры и спорта. Ведется разработка новой образовательной программы, которая привлечет абитуриентов в КарУ. </w:t>
      </w:r>
    </w:p>
    <w:bookmarkEnd w:id="143"/>
    <w:bookmarkStart w:name="z162" w:id="144"/>
    <w:p>
      <w:pPr>
        <w:spacing w:after="0"/>
        <w:ind w:left="0"/>
        <w:jc w:val="both"/>
      </w:pPr>
      <w:r>
        <w:rPr>
          <w:rFonts w:ascii="Times New Roman"/>
          <w:b w:val="false"/>
          <w:i w:val="false"/>
          <w:color w:val="000000"/>
          <w:sz w:val="28"/>
        </w:rPr>
        <w:t xml:space="preserve">
      Вышеизложенные обстоятельства подтверждают необходимость улучшения материально-технической базы факультета физической культуры и спорта КарУ. Это положительно скажется на качестве обучения и спортивных показателях растущего контингента обучающихся факультета физической культуры и спорта (более 1300 обучающихся), расширит возможности ППС в плане проведения занятий, повысит их эффективность. </w:t>
      </w:r>
    </w:p>
    <w:bookmarkEnd w:id="144"/>
    <w:bookmarkStart w:name="z163" w:id="145"/>
    <w:p>
      <w:pPr>
        <w:spacing w:after="0"/>
        <w:ind w:left="0"/>
        <w:jc w:val="both"/>
      </w:pPr>
      <w:r>
        <w:rPr>
          <w:rFonts w:ascii="Times New Roman"/>
          <w:b w:val="false"/>
          <w:i w:val="false"/>
          <w:color w:val="000000"/>
          <w:sz w:val="28"/>
        </w:rPr>
        <w:t>
      Наличие стадиона на базе КарУ позволит решать целый ряд важнейших задач в плане воспитания будущего поколения страны, формирования здорового образа жизни населения, оздоровления путем занятий спортом и физической культурой, подготовки высококвалифицированных специалистов.</w:t>
      </w:r>
    </w:p>
    <w:bookmarkEnd w:id="145"/>
    <w:bookmarkStart w:name="z164" w:id="146"/>
    <w:p>
      <w:pPr>
        <w:spacing w:after="0"/>
        <w:ind w:left="0"/>
        <w:jc w:val="both"/>
      </w:pPr>
      <w:r>
        <w:rPr>
          <w:rFonts w:ascii="Times New Roman"/>
          <w:b w:val="false"/>
          <w:i w:val="false"/>
          <w:color w:val="000000"/>
          <w:sz w:val="28"/>
        </w:rPr>
        <w:t>
      Кроме того, современный стадион будет местом проведения спортивных и других массовых мероприятий для всего города Караганды.</w:t>
      </w:r>
    </w:p>
    <w:bookmarkEnd w:id="146"/>
    <w:bookmarkStart w:name="z165" w:id="147"/>
    <w:p>
      <w:pPr>
        <w:spacing w:after="0"/>
        <w:ind w:left="0"/>
        <w:jc w:val="both"/>
      </w:pPr>
      <w:r>
        <w:rPr>
          <w:rFonts w:ascii="Times New Roman"/>
          <w:b w:val="false"/>
          <w:i w:val="false"/>
          <w:color w:val="000000"/>
          <w:sz w:val="28"/>
        </w:rPr>
        <w:t>
      Для реализации мероприятий, предусмотренных Программой развития на 2024 – 2028 годы, необходимо финансирование общим объемом 16562306 тысяч тенге, из них за счет привлеченных бюджетных инвестиций – 13692982 тысячи тенге и за счет собственных средств – 2869324 тысячи тенге, в том числе по годам:</w:t>
      </w:r>
    </w:p>
    <w:bookmarkEnd w:id="147"/>
    <w:bookmarkStart w:name="z166" w:id="148"/>
    <w:p>
      <w:pPr>
        <w:spacing w:after="0"/>
        <w:ind w:left="0"/>
        <w:jc w:val="both"/>
      </w:pPr>
      <w:r>
        <w:rPr>
          <w:rFonts w:ascii="Times New Roman"/>
          <w:b w:val="false"/>
          <w:i w:val="false"/>
          <w:color w:val="000000"/>
          <w:sz w:val="28"/>
        </w:rPr>
        <w:t>
      2024 год – всего 2298411 тысяч тенге за счет собственных средств;</w:t>
      </w:r>
    </w:p>
    <w:bookmarkEnd w:id="148"/>
    <w:bookmarkStart w:name="z167" w:id="149"/>
    <w:p>
      <w:pPr>
        <w:spacing w:after="0"/>
        <w:ind w:left="0"/>
        <w:jc w:val="both"/>
      </w:pPr>
      <w:r>
        <w:rPr>
          <w:rFonts w:ascii="Times New Roman"/>
          <w:b w:val="false"/>
          <w:i w:val="false"/>
          <w:color w:val="000000"/>
          <w:sz w:val="28"/>
        </w:rPr>
        <w:t>
      2025 год – всего 62000 тысяч тенге за счет собственных средств;</w:t>
      </w:r>
    </w:p>
    <w:bookmarkEnd w:id="149"/>
    <w:bookmarkStart w:name="z168" w:id="150"/>
    <w:p>
      <w:pPr>
        <w:spacing w:after="0"/>
        <w:ind w:left="0"/>
        <w:jc w:val="both"/>
      </w:pPr>
      <w:r>
        <w:rPr>
          <w:rFonts w:ascii="Times New Roman"/>
          <w:b w:val="false"/>
          <w:i w:val="false"/>
          <w:color w:val="000000"/>
          <w:sz w:val="28"/>
        </w:rPr>
        <w:t>
      2026 год – всего 408729 тысяч тенге за счет собственных средств;</w:t>
      </w:r>
    </w:p>
    <w:bookmarkEnd w:id="150"/>
    <w:bookmarkStart w:name="z169" w:id="151"/>
    <w:p>
      <w:pPr>
        <w:spacing w:after="0"/>
        <w:ind w:left="0"/>
        <w:jc w:val="both"/>
      </w:pPr>
      <w:r>
        <w:rPr>
          <w:rFonts w:ascii="Times New Roman"/>
          <w:b w:val="false"/>
          <w:i w:val="false"/>
          <w:color w:val="000000"/>
          <w:sz w:val="28"/>
        </w:rPr>
        <w:t xml:space="preserve">
      2027 год – всего 5975377 тысяч тенге, из них: </w:t>
      </w:r>
    </w:p>
    <w:bookmarkEnd w:id="151"/>
    <w:bookmarkStart w:name="z170" w:id="152"/>
    <w:p>
      <w:pPr>
        <w:spacing w:after="0"/>
        <w:ind w:left="0"/>
        <w:jc w:val="both"/>
      </w:pPr>
      <w:r>
        <w:rPr>
          <w:rFonts w:ascii="Times New Roman"/>
          <w:b w:val="false"/>
          <w:i w:val="false"/>
          <w:color w:val="000000"/>
          <w:sz w:val="28"/>
        </w:rPr>
        <w:t>
      привлеченные бюджетные инвестиции – 5925377 тысяч тенге,</w:t>
      </w:r>
    </w:p>
    <w:bookmarkEnd w:id="152"/>
    <w:bookmarkStart w:name="z171" w:id="153"/>
    <w:p>
      <w:pPr>
        <w:spacing w:after="0"/>
        <w:ind w:left="0"/>
        <w:jc w:val="both"/>
      </w:pPr>
      <w:r>
        <w:rPr>
          <w:rFonts w:ascii="Times New Roman"/>
          <w:b w:val="false"/>
          <w:i w:val="false"/>
          <w:color w:val="000000"/>
          <w:sz w:val="28"/>
        </w:rPr>
        <w:t>
      собственные средства – 50000 тысяч тенге;</w:t>
      </w:r>
    </w:p>
    <w:bookmarkEnd w:id="153"/>
    <w:bookmarkStart w:name="z172" w:id="154"/>
    <w:p>
      <w:pPr>
        <w:spacing w:after="0"/>
        <w:ind w:left="0"/>
        <w:jc w:val="both"/>
      </w:pPr>
      <w:r>
        <w:rPr>
          <w:rFonts w:ascii="Times New Roman"/>
          <w:b w:val="false"/>
          <w:i w:val="false"/>
          <w:color w:val="000000"/>
          <w:sz w:val="28"/>
        </w:rPr>
        <w:t>
      2028 год – всего 7817789 тысяч тенге, из них:</w:t>
      </w:r>
    </w:p>
    <w:bookmarkEnd w:id="154"/>
    <w:bookmarkStart w:name="z173" w:id="155"/>
    <w:p>
      <w:pPr>
        <w:spacing w:after="0"/>
        <w:ind w:left="0"/>
        <w:jc w:val="both"/>
      </w:pPr>
      <w:r>
        <w:rPr>
          <w:rFonts w:ascii="Times New Roman"/>
          <w:b w:val="false"/>
          <w:i w:val="false"/>
          <w:color w:val="000000"/>
          <w:sz w:val="28"/>
        </w:rPr>
        <w:t>
      привлеченные бюджетные инвестиции – 7767605 тысяч тенге,</w:t>
      </w:r>
    </w:p>
    <w:bookmarkEnd w:id="155"/>
    <w:bookmarkStart w:name="z174" w:id="156"/>
    <w:p>
      <w:pPr>
        <w:spacing w:after="0"/>
        <w:ind w:left="0"/>
        <w:jc w:val="both"/>
      </w:pPr>
      <w:r>
        <w:rPr>
          <w:rFonts w:ascii="Times New Roman"/>
          <w:b w:val="false"/>
          <w:i w:val="false"/>
          <w:color w:val="000000"/>
          <w:sz w:val="28"/>
        </w:rPr>
        <w:t>
      собственные средства – 50184 тысячи тенге.</w:t>
      </w:r>
    </w:p>
    <w:bookmarkEnd w:id="156"/>
    <w:bookmarkStart w:name="z175" w:id="157"/>
    <w:p>
      <w:pPr>
        <w:spacing w:after="0"/>
        <w:ind w:left="0"/>
        <w:jc w:val="both"/>
      </w:pPr>
      <w:r>
        <w:rPr>
          <w:rFonts w:ascii="Times New Roman"/>
          <w:b w:val="false"/>
          <w:i w:val="false"/>
          <w:color w:val="000000"/>
          <w:sz w:val="28"/>
        </w:rPr>
        <w:t xml:space="preserve">
      В реализации Программы развития КарУ будут участвовать собственные и привлеченные бюджетные инвестиции. </w:t>
      </w:r>
    </w:p>
    <w:bookmarkEnd w:id="157"/>
    <w:bookmarkStart w:name="z176" w:id="158"/>
    <w:p>
      <w:pPr>
        <w:spacing w:after="0"/>
        <w:ind w:left="0"/>
        <w:jc w:val="both"/>
      </w:pPr>
      <w:r>
        <w:rPr>
          <w:rFonts w:ascii="Times New Roman"/>
          <w:b w:val="false"/>
          <w:i w:val="false"/>
          <w:color w:val="000000"/>
          <w:sz w:val="28"/>
        </w:rPr>
        <w:t>
      В частности, в 2024 – 2028 годы планируется поэтапное увеличение внебюджетных расходов на повышение качества образования и модернизацию научно-интеллектуальной, социальной инфраструктуры.</w:t>
      </w:r>
    </w:p>
    <w:bookmarkEnd w:id="158"/>
    <w:bookmarkStart w:name="z177" w:id="159"/>
    <w:p>
      <w:pPr>
        <w:spacing w:after="0"/>
        <w:ind w:left="0"/>
        <w:jc w:val="both"/>
      </w:pPr>
      <w:r>
        <w:rPr>
          <w:rFonts w:ascii="Times New Roman"/>
          <w:b w:val="false"/>
          <w:i w:val="false"/>
          <w:color w:val="000000"/>
          <w:sz w:val="28"/>
        </w:rPr>
        <w:t>
      Средства планируется направить на реализацию инфраструктурных инвестиционных проектов в 2024 – 2028 годы, в том числе на:</w:t>
      </w:r>
    </w:p>
    <w:bookmarkEnd w:id="159"/>
    <w:bookmarkStart w:name="z178" w:id="160"/>
    <w:p>
      <w:pPr>
        <w:spacing w:after="0"/>
        <w:ind w:left="0"/>
        <w:jc w:val="both"/>
      </w:pPr>
      <w:r>
        <w:rPr>
          <w:rFonts w:ascii="Times New Roman"/>
          <w:b w:val="false"/>
          <w:i w:val="false"/>
          <w:color w:val="000000"/>
          <w:sz w:val="28"/>
        </w:rPr>
        <w:t>
      "Строительство студенческого общежития на 500 мест" (с наружными инженерными сетями и благоустройством территории) общей сметной стоимостью 2152855 тысяч тенге (с учетом расходов по авторскому и техническому надзору). Период реализации проекта – 2023 – 2024 годы, источник финансирования – собственные средства;</w:t>
      </w:r>
    </w:p>
    <w:bookmarkEnd w:id="160"/>
    <w:bookmarkStart w:name="z179" w:id="161"/>
    <w:p>
      <w:pPr>
        <w:spacing w:after="0"/>
        <w:ind w:left="0"/>
        <w:jc w:val="both"/>
      </w:pPr>
      <w:r>
        <w:rPr>
          <w:rFonts w:ascii="Times New Roman"/>
          <w:b w:val="false"/>
          <w:i w:val="false"/>
          <w:color w:val="000000"/>
          <w:sz w:val="28"/>
        </w:rPr>
        <w:t>
      "Строительство научного технопарка" сметной стоимостью 509463 тысячи тенге. Период реализации проекта – 2023 – 2024 годы, источник финансирования – собственные средства;</w:t>
      </w:r>
    </w:p>
    <w:bookmarkEnd w:id="161"/>
    <w:bookmarkStart w:name="z180" w:id="162"/>
    <w:p>
      <w:pPr>
        <w:spacing w:after="0"/>
        <w:ind w:left="0"/>
        <w:jc w:val="both"/>
      </w:pPr>
      <w:r>
        <w:rPr>
          <w:rFonts w:ascii="Times New Roman"/>
          <w:b w:val="false"/>
          <w:i w:val="false"/>
          <w:color w:val="000000"/>
          <w:sz w:val="28"/>
        </w:rPr>
        <w:t>
      "Строительство учебно-лабораторного корпуса на 1112 мест для химического факультета с инженерными сетями" ориентировочной стоимостью проектных и строительно-монтажных работ 10109875 тысяч тенге. Период реализации проекта – 2026 – 2028 годы, источник финансирования: собственные средства – 58730 тысяч тенге, привлеченные бюджетные инвестиции – 10051145 тысяч тенге;</w:t>
      </w:r>
    </w:p>
    <w:bookmarkEnd w:id="162"/>
    <w:bookmarkStart w:name="z181" w:id="163"/>
    <w:p>
      <w:pPr>
        <w:spacing w:after="0"/>
        <w:ind w:left="0"/>
        <w:jc w:val="both"/>
      </w:pPr>
      <w:r>
        <w:rPr>
          <w:rFonts w:ascii="Times New Roman"/>
          <w:b w:val="false"/>
          <w:i w:val="false"/>
          <w:color w:val="000000"/>
          <w:sz w:val="28"/>
        </w:rPr>
        <w:t>
      "Строительство полигона "Альтернативная энергетика"" ориентировочной стоимостью проектных и строительно-монтажных работ 160000 тысяч тенге. Период реализации проекта – 2025 – 2026 годы, источник финансирования – собственные средства;</w:t>
      </w:r>
    </w:p>
    <w:bookmarkEnd w:id="163"/>
    <w:bookmarkStart w:name="z182" w:id="164"/>
    <w:p>
      <w:pPr>
        <w:spacing w:after="0"/>
        <w:ind w:left="0"/>
        <w:jc w:val="both"/>
      </w:pPr>
      <w:r>
        <w:rPr>
          <w:rFonts w:ascii="Times New Roman"/>
          <w:b w:val="false"/>
          <w:i w:val="false"/>
          <w:color w:val="000000"/>
          <w:sz w:val="28"/>
        </w:rPr>
        <w:t>
       "Строительство уличного открытого стадиона со спортивными площадками и административно-бытовым комплексом" ориентировочной сметной стоимостью 162000 тысяч тенге. Период реализации проекта – 2025 – 2026 годы, источник финансирования – собственные средства.</w:t>
      </w:r>
    </w:p>
    <w:bookmarkEnd w:id="164"/>
    <w:bookmarkStart w:name="z183" w:id="165"/>
    <w:p>
      <w:pPr>
        <w:spacing w:after="0"/>
        <w:ind w:left="0"/>
        <w:jc w:val="both"/>
      </w:pPr>
      <w:r>
        <w:rPr>
          <w:rFonts w:ascii="Times New Roman"/>
          <w:b w:val="false"/>
          <w:i w:val="false"/>
          <w:color w:val="000000"/>
          <w:sz w:val="28"/>
        </w:rPr>
        <w:t xml:space="preserve">
      В целях материально-технического оснащения научного технопарка предусматривается приобретение оборудования за счет собственных и привлеченных бюджетных инвестиций общим объемом 3872021 тысяча тенге, в том числе по годам: </w:t>
      </w:r>
    </w:p>
    <w:bookmarkEnd w:id="165"/>
    <w:bookmarkStart w:name="z184" w:id="166"/>
    <w:p>
      <w:pPr>
        <w:spacing w:after="0"/>
        <w:ind w:left="0"/>
        <w:jc w:val="both"/>
      </w:pPr>
      <w:r>
        <w:rPr>
          <w:rFonts w:ascii="Times New Roman"/>
          <w:b w:val="false"/>
          <w:i w:val="false"/>
          <w:color w:val="000000"/>
          <w:sz w:val="28"/>
        </w:rPr>
        <w:t>
      2024 год – 40000 тысяч тенге;</w:t>
      </w:r>
    </w:p>
    <w:bookmarkEnd w:id="166"/>
    <w:bookmarkStart w:name="z185" w:id="167"/>
    <w:p>
      <w:pPr>
        <w:spacing w:after="0"/>
        <w:ind w:left="0"/>
        <w:jc w:val="both"/>
      </w:pPr>
      <w:r>
        <w:rPr>
          <w:rFonts w:ascii="Times New Roman"/>
          <w:b w:val="false"/>
          <w:i w:val="false"/>
          <w:color w:val="000000"/>
          <w:sz w:val="28"/>
        </w:rPr>
        <w:t>
      2025 год – 40000 тысяч тенге;</w:t>
      </w:r>
    </w:p>
    <w:bookmarkEnd w:id="167"/>
    <w:bookmarkStart w:name="z186" w:id="168"/>
    <w:p>
      <w:pPr>
        <w:spacing w:after="0"/>
        <w:ind w:left="0"/>
        <w:jc w:val="both"/>
      </w:pPr>
      <w:r>
        <w:rPr>
          <w:rFonts w:ascii="Times New Roman"/>
          <w:b w:val="false"/>
          <w:i w:val="false"/>
          <w:color w:val="000000"/>
          <w:sz w:val="28"/>
        </w:rPr>
        <w:t>
      2026 год – 50000 тысяч тенге;</w:t>
      </w:r>
    </w:p>
    <w:bookmarkEnd w:id="168"/>
    <w:bookmarkStart w:name="z187" w:id="169"/>
    <w:p>
      <w:pPr>
        <w:spacing w:after="0"/>
        <w:ind w:left="0"/>
        <w:jc w:val="both"/>
      </w:pPr>
      <w:r>
        <w:rPr>
          <w:rFonts w:ascii="Times New Roman"/>
          <w:b w:val="false"/>
          <w:i w:val="false"/>
          <w:color w:val="000000"/>
          <w:sz w:val="28"/>
        </w:rPr>
        <w:t>
      2027 год – 1870919 тысяч тенге;</w:t>
      </w:r>
    </w:p>
    <w:bookmarkEnd w:id="169"/>
    <w:bookmarkStart w:name="z188" w:id="170"/>
    <w:p>
      <w:pPr>
        <w:spacing w:after="0"/>
        <w:ind w:left="0"/>
        <w:jc w:val="both"/>
      </w:pPr>
      <w:r>
        <w:rPr>
          <w:rFonts w:ascii="Times New Roman"/>
          <w:b w:val="false"/>
          <w:i w:val="false"/>
          <w:color w:val="000000"/>
          <w:sz w:val="28"/>
        </w:rPr>
        <w:t>
      2028 год – 1871102 тысячи тенге.</w:t>
      </w:r>
    </w:p>
    <w:bookmarkEnd w:id="170"/>
    <w:bookmarkStart w:name="z189" w:id="171"/>
    <w:p>
      <w:pPr>
        <w:spacing w:after="0"/>
        <w:ind w:left="0"/>
        <w:jc w:val="both"/>
      </w:pPr>
      <w:r>
        <w:rPr>
          <w:rFonts w:ascii="Times New Roman"/>
          <w:b w:val="false"/>
          <w:i w:val="false"/>
          <w:color w:val="000000"/>
          <w:sz w:val="28"/>
        </w:rPr>
        <w:t>
      Объем финансирования за счет привлекаемых бюджетных инвестиций на приобретение оборудования для оснащения научных и учебных лабораторий – 3641837 тысяч тенге, в том числе по годам:</w:t>
      </w:r>
    </w:p>
    <w:bookmarkEnd w:id="171"/>
    <w:bookmarkStart w:name="z190" w:id="172"/>
    <w:p>
      <w:pPr>
        <w:spacing w:after="0"/>
        <w:ind w:left="0"/>
        <w:jc w:val="both"/>
      </w:pPr>
      <w:r>
        <w:rPr>
          <w:rFonts w:ascii="Times New Roman"/>
          <w:b w:val="false"/>
          <w:i w:val="false"/>
          <w:color w:val="000000"/>
          <w:sz w:val="28"/>
        </w:rPr>
        <w:t>
      2027 год – 1820919 тысяч тенге;</w:t>
      </w:r>
    </w:p>
    <w:bookmarkEnd w:id="172"/>
    <w:bookmarkStart w:name="z191" w:id="173"/>
    <w:p>
      <w:pPr>
        <w:spacing w:after="0"/>
        <w:ind w:left="0"/>
        <w:jc w:val="both"/>
      </w:pPr>
      <w:r>
        <w:rPr>
          <w:rFonts w:ascii="Times New Roman"/>
          <w:b w:val="false"/>
          <w:i w:val="false"/>
          <w:color w:val="000000"/>
          <w:sz w:val="28"/>
        </w:rPr>
        <w:t>
      2028 год – 1820918 тысяч тенге.</w:t>
      </w:r>
    </w:p>
    <w:bookmarkEnd w:id="173"/>
    <w:bookmarkStart w:name="z192" w:id="174"/>
    <w:p>
      <w:pPr>
        <w:spacing w:after="0"/>
        <w:ind w:left="0"/>
        <w:jc w:val="both"/>
      </w:pPr>
      <w:r>
        <w:rPr>
          <w:rFonts w:ascii="Times New Roman"/>
          <w:b w:val="false"/>
          <w:i w:val="false"/>
          <w:color w:val="000000"/>
          <w:sz w:val="28"/>
        </w:rPr>
        <w:t xml:space="preserve">
      Всего планируется привлечение бюджетных инвестиций за счет республиканского бюджета в общем объеме 13692982 тысячи тенге, в том числе по годам: </w:t>
      </w:r>
    </w:p>
    <w:bookmarkEnd w:id="174"/>
    <w:bookmarkStart w:name="z193" w:id="175"/>
    <w:p>
      <w:pPr>
        <w:spacing w:after="0"/>
        <w:ind w:left="0"/>
        <w:jc w:val="both"/>
      </w:pPr>
      <w:r>
        <w:rPr>
          <w:rFonts w:ascii="Times New Roman"/>
          <w:b w:val="false"/>
          <w:i w:val="false"/>
          <w:color w:val="000000"/>
          <w:sz w:val="28"/>
        </w:rPr>
        <w:t>
      2027 год – 5925377 тысяч тенге: из них на строительство – 4104458 тысяч тенге, на оснащение лабораторий – 1820919 тысяч тенге;</w:t>
      </w:r>
    </w:p>
    <w:bookmarkEnd w:id="175"/>
    <w:bookmarkStart w:name="z194" w:id="176"/>
    <w:p>
      <w:pPr>
        <w:spacing w:after="0"/>
        <w:ind w:left="0"/>
        <w:jc w:val="both"/>
      </w:pPr>
      <w:r>
        <w:rPr>
          <w:rFonts w:ascii="Times New Roman"/>
          <w:b w:val="false"/>
          <w:i w:val="false"/>
          <w:color w:val="000000"/>
          <w:sz w:val="28"/>
        </w:rPr>
        <w:t>
      2028 год – 7767605 тысяч тенге: из них на строительство – 5946687 тысяч тенге, на оснащение лабораторий – 1820918 тысяч тенге.</w:t>
      </w:r>
    </w:p>
    <w:bookmarkEnd w:id="176"/>
    <w:bookmarkStart w:name="z195" w:id="177"/>
    <w:p>
      <w:pPr>
        <w:spacing w:after="0"/>
        <w:ind w:left="0"/>
        <w:jc w:val="both"/>
      </w:pPr>
      <w:r>
        <w:rPr>
          <w:rFonts w:ascii="Times New Roman"/>
          <w:b w:val="false"/>
          <w:i w:val="false"/>
          <w:color w:val="000000"/>
          <w:sz w:val="28"/>
        </w:rPr>
        <w:t>
      Данные расходы будут рассмотрены в установленном законодательством порядке в пределах доведенного лимита расходов при формировании республиканского бюджета на соответствующий плановый период.</w:t>
      </w:r>
    </w:p>
    <w:bookmarkEnd w:id="177"/>
    <w:bookmarkStart w:name="z196" w:id="178"/>
    <w:p>
      <w:pPr>
        <w:spacing w:after="0"/>
        <w:ind w:left="0"/>
        <w:jc w:val="both"/>
      </w:pPr>
      <w:r>
        <w:rPr>
          <w:rFonts w:ascii="Times New Roman"/>
          <w:b w:val="false"/>
          <w:i w:val="false"/>
          <w:color w:val="000000"/>
          <w:sz w:val="28"/>
        </w:rPr>
        <w:t>
      Инфраструктурные инвестиции имеют дальний горизонт и низкую норму доходности, но большой мультипликативный эффект для развития университета, обеспечивая новое качество образовательной и научной, научно-исследовательской деятельности.</w:t>
      </w:r>
    </w:p>
    <w:bookmarkEnd w:id="178"/>
    <w:bookmarkStart w:name="z197" w:id="179"/>
    <w:p>
      <w:pPr>
        <w:spacing w:after="0"/>
        <w:ind w:left="0"/>
        <w:jc w:val="both"/>
      </w:pPr>
      <w:r>
        <w:rPr>
          <w:rFonts w:ascii="Times New Roman"/>
          <w:b w:val="false"/>
          <w:i w:val="false"/>
          <w:color w:val="000000"/>
          <w:sz w:val="28"/>
        </w:rPr>
        <w:t xml:space="preserve">
      Общие доходы КарУ на 2024 – 2028 годы прогнозируются в объеме 92739651 тысяча тенге, из них от: </w:t>
      </w:r>
    </w:p>
    <w:bookmarkEnd w:id="179"/>
    <w:bookmarkStart w:name="z198" w:id="180"/>
    <w:p>
      <w:pPr>
        <w:spacing w:after="0"/>
        <w:ind w:left="0"/>
        <w:jc w:val="both"/>
      </w:pPr>
      <w:r>
        <w:rPr>
          <w:rFonts w:ascii="Times New Roman"/>
          <w:b w:val="false"/>
          <w:i w:val="false"/>
          <w:color w:val="000000"/>
          <w:sz w:val="28"/>
        </w:rPr>
        <w:t xml:space="preserve">
      образовательной деятельности – 65941224 тысячи тенге (71,10 %); </w:t>
      </w:r>
    </w:p>
    <w:bookmarkEnd w:id="180"/>
    <w:bookmarkStart w:name="z199" w:id="181"/>
    <w:p>
      <w:pPr>
        <w:spacing w:after="0"/>
        <w:ind w:left="0"/>
        <w:jc w:val="both"/>
      </w:pPr>
      <w:r>
        <w:rPr>
          <w:rFonts w:ascii="Times New Roman"/>
          <w:b w:val="false"/>
          <w:i w:val="false"/>
          <w:color w:val="000000"/>
          <w:sz w:val="28"/>
        </w:rPr>
        <w:t xml:space="preserve">
      научной деятельности – 9232269 тысяч тенге (9,96 %); </w:t>
      </w:r>
    </w:p>
    <w:bookmarkEnd w:id="181"/>
    <w:bookmarkStart w:name="z200" w:id="182"/>
    <w:p>
      <w:pPr>
        <w:spacing w:after="0"/>
        <w:ind w:left="0"/>
        <w:jc w:val="both"/>
      </w:pPr>
      <w:r>
        <w:rPr>
          <w:rFonts w:ascii="Times New Roman"/>
          <w:b w:val="false"/>
          <w:i w:val="false"/>
          <w:color w:val="000000"/>
          <w:sz w:val="28"/>
        </w:rPr>
        <w:t>
      прочей деятельности – 3750507 тысяч тенге (4,04 %);</w:t>
      </w:r>
    </w:p>
    <w:bookmarkEnd w:id="182"/>
    <w:bookmarkStart w:name="z201" w:id="183"/>
    <w:p>
      <w:pPr>
        <w:spacing w:after="0"/>
        <w:ind w:left="0"/>
        <w:jc w:val="both"/>
      </w:pPr>
      <w:r>
        <w:rPr>
          <w:rFonts w:ascii="Times New Roman"/>
          <w:b w:val="false"/>
          <w:i w:val="false"/>
          <w:color w:val="000000"/>
          <w:sz w:val="28"/>
        </w:rPr>
        <w:t>
      академической мобильности – 71833 тысячи тенге (0,08 %);</w:t>
      </w:r>
    </w:p>
    <w:bookmarkEnd w:id="183"/>
    <w:bookmarkStart w:name="z202" w:id="184"/>
    <w:p>
      <w:pPr>
        <w:spacing w:after="0"/>
        <w:ind w:left="0"/>
        <w:jc w:val="both"/>
      </w:pPr>
      <w:r>
        <w:rPr>
          <w:rFonts w:ascii="Times New Roman"/>
          <w:b w:val="false"/>
          <w:i w:val="false"/>
          <w:color w:val="000000"/>
          <w:sz w:val="28"/>
        </w:rPr>
        <w:t>
      привлечения зарубежных специалистов – 50836 тысяч тенге (0,05 %);</w:t>
      </w:r>
    </w:p>
    <w:bookmarkEnd w:id="184"/>
    <w:bookmarkStart w:name="z203" w:id="185"/>
    <w:p>
      <w:pPr>
        <w:spacing w:after="0"/>
        <w:ind w:left="0"/>
        <w:jc w:val="both"/>
      </w:pPr>
      <w:r>
        <w:rPr>
          <w:rFonts w:ascii="Times New Roman"/>
          <w:b w:val="false"/>
          <w:i w:val="false"/>
          <w:color w:val="000000"/>
          <w:sz w:val="28"/>
        </w:rPr>
        <w:t>
      привлеченных бюджетных инвестиций – 13692982 тысячи тенге (14,77 %).</w:t>
      </w:r>
    </w:p>
    <w:bookmarkEnd w:id="185"/>
    <w:bookmarkStart w:name="z204" w:id="186"/>
    <w:p>
      <w:pPr>
        <w:spacing w:after="0"/>
        <w:ind w:left="0"/>
        <w:jc w:val="both"/>
      </w:pPr>
      <w:r>
        <w:rPr>
          <w:rFonts w:ascii="Times New Roman"/>
          <w:b w:val="false"/>
          <w:i w:val="false"/>
          <w:color w:val="000000"/>
          <w:sz w:val="28"/>
        </w:rPr>
        <w:t>
      В том числе в разрезе видов деятельности на 2024 – 2028 годы:</w:t>
      </w:r>
    </w:p>
    <w:bookmarkEnd w:id="186"/>
    <w:bookmarkStart w:name="z205" w:id="187"/>
    <w:p>
      <w:pPr>
        <w:spacing w:after="0"/>
        <w:ind w:left="0"/>
        <w:jc w:val="both"/>
      </w:pPr>
      <w:r>
        <w:rPr>
          <w:rFonts w:ascii="Times New Roman"/>
          <w:b w:val="false"/>
          <w:i w:val="false"/>
          <w:color w:val="000000"/>
          <w:sz w:val="28"/>
        </w:rPr>
        <w:t>
      в 2024 году:</w:t>
      </w:r>
    </w:p>
    <w:bookmarkEnd w:id="187"/>
    <w:bookmarkStart w:name="z206" w:id="188"/>
    <w:p>
      <w:pPr>
        <w:spacing w:after="0"/>
        <w:ind w:left="0"/>
        <w:jc w:val="both"/>
      </w:pPr>
      <w:r>
        <w:rPr>
          <w:rFonts w:ascii="Times New Roman"/>
          <w:b w:val="false"/>
          <w:i w:val="false"/>
          <w:color w:val="000000"/>
          <w:sz w:val="28"/>
        </w:rPr>
        <w:t>
      образовательная деятельность: за счет республиканского бюджета (в рамках государственного заказа) – 6983622 тысячи тенге; за счет местных бюджетов (в рамках государственного заказа) – 68600 тысяч тенге; внебюджетные средства (по договорам с физическими и юридическими лицами) – 3935558 тысяч тенге;</w:t>
      </w:r>
    </w:p>
    <w:bookmarkEnd w:id="188"/>
    <w:bookmarkStart w:name="z207" w:id="189"/>
    <w:p>
      <w:pPr>
        <w:spacing w:after="0"/>
        <w:ind w:left="0"/>
        <w:jc w:val="both"/>
      </w:pPr>
      <w:r>
        <w:rPr>
          <w:rFonts w:ascii="Times New Roman"/>
          <w:b w:val="false"/>
          <w:i w:val="false"/>
          <w:color w:val="000000"/>
          <w:sz w:val="28"/>
        </w:rPr>
        <w:t>
      научная деятельность: за счет республиканского бюджета (в рамках государственного заказа) – 1201532 тысячи тенге; внебюджетные средства (по заказам юридических лиц, квазигосударственного сектора) – 349415 тысяч тенге;</w:t>
      </w:r>
    </w:p>
    <w:bookmarkEnd w:id="189"/>
    <w:bookmarkStart w:name="z208" w:id="190"/>
    <w:p>
      <w:pPr>
        <w:spacing w:after="0"/>
        <w:ind w:left="0"/>
        <w:jc w:val="both"/>
      </w:pPr>
      <w:r>
        <w:rPr>
          <w:rFonts w:ascii="Times New Roman"/>
          <w:b w:val="false"/>
          <w:i w:val="false"/>
          <w:color w:val="000000"/>
          <w:sz w:val="28"/>
        </w:rPr>
        <w:t>
      академическая мобильность – 13000 тысяч тенге;</w:t>
      </w:r>
    </w:p>
    <w:bookmarkEnd w:id="190"/>
    <w:bookmarkStart w:name="z209" w:id="191"/>
    <w:p>
      <w:pPr>
        <w:spacing w:after="0"/>
        <w:ind w:left="0"/>
        <w:jc w:val="both"/>
      </w:pPr>
      <w:r>
        <w:rPr>
          <w:rFonts w:ascii="Times New Roman"/>
          <w:b w:val="false"/>
          <w:i w:val="false"/>
          <w:color w:val="000000"/>
          <w:sz w:val="28"/>
        </w:rPr>
        <w:t>
      привлечение зарубежных специалистов – 9200 тысяч тенге;</w:t>
      </w:r>
    </w:p>
    <w:bookmarkEnd w:id="191"/>
    <w:bookmarkStart w:name="z210" w:id="192"/>
    <w:p>
      <w:pPr>
        <w:spacing w:after="0"/>
        <w:ind w:left="0"/>
        <w:jc w:val="both"/>
      </w:pPr>
      <w:r>
        <w:rPr>
          <w:rFonts w:ascii="Times New Roman"/>
          <w:b w:val="false"/>
          <w:i w:val="false"/>
          <w:color w:val="000000"/>
          <w:sz w:val="28"/>
        </w:rPr>
        <w:t>
      прочая уставная деятельность: всего 765149 тысяч тенге;</w:t>
      </w:r>
    </w:p>
    <w:bookmarkEnd w:id="192"/>
    <w:bookmarkStart w:name="z211" w:id="193"/>
    <w:p>
      <w:pPr>
        <w:spacing w:after="0"/>
        <w:ind w:left="0"/>
        <w:jc w:val="both"/>
      </w:pPr>
      <w:r>
        <w:rPr>
          <w:rFonts w:ascii="Times New Roman"/>
          <w:b w:val="false"/>
          <w:i w:val="false"/>
          <w:color w:val="000000"/>
          <w:sz w:val="28"/>
        </w:rPr>
        <w:t>
      в 2025 году:</w:t>
      </w:r>
    </w:p>
    <w:bookmarkEnd w:id="193"/>
    <w:bookmarkStart w:name="z212" w:id="194"/>
    <w:p>
      <w:pPr>
        <w:spacing w:after="0"/>
        <w:ind w:left="0"/>
        <w:jc w:val="both"/>
      </w:pPr>
      <w:r>
        <w:rPr>
          <w:rFonts w:ascii="Times New Roman"/>
          <w:b w:val="false"/>
          <w:i w:val="false"/>
          <w:color w:val="000000"/>
          <w:sz w:val="28"/>
        </w:rPr>
        <w:t>
      образовательная деятельность: за счет республиканского бюджета (в рамках государственного заказа) – 7332803 тысячи тенге; за счет местных бюджетов (в рамках государственного заказа) – 70000 тысяч тенге; внебюджетные средства (по договорам с физическими и юридическими лицами) – 4535558 тысяч тенге;</w:t>
      </w:r>
    </w:p>
    <w:bookmarkEnd w:id="194"/>
    <w:bookmarkStart w:name="z213" w:id="195"/>
    <w:p>
      <w:pPr>
        <w:spacing w:after="0"/>
        <w:ind w:left="0"/>
        <w:jc w:val="both"/>
      </w:pPr>
      <w:r>
        <w:rPr>
          <w:rFonts w:ascii="Times New Roman"/>
          <w:b w:val="false"/>
          <w:i w:val="false"/>
          <w:color w:val="000000"/>
          <w:sz w:val="28"/>
        </w:rPr>
        <w:t>
      научная деятельность: за счет республиканского бюджета (в рамках государственного заказа) – 1300000 тысяч тенге; внебюджетные средства (по заказам юридических лиц, квазигосударственного сектора) – 366885 тысяч тенге;</w:t>
      </w:r>
    </w:p>
    <w:bookmarkEnd w:id="195"/>
    <w:bookmarkStart w:name="z214" w:id="196"/>
    <w:p>
      <w:pPr>
        <w:spacing w:after="0"/>
        <w:ind w:left="0"/>
        <w:jc w:val="both"/>
      </w:pPr>
      <w:r>
        <w:rPr>
          <w:rFonts w:ascii="Times New Roman"/>
          <w:b w:val="false"/>
          <w:i w:val="false"/>
          <w:color w:val="000000"/>
          <w:sz w:val="28"/>
        </w:rPr>
        <w:t>
      академическая мобильность – 13650 тысяч тенге;</w:t>
      </w:r>
    </w:p>
    <w:bookmarkEnd w:id="196"/>
    <w:bookmarkStart w:name="z215" w:id="197"/>
    <w:p>
      <w:pPr>
        <w:spacing w:after="0"/>
        <w:ind w:left="0"/>
        <w:jc w:val="both"/>
      </w:pPr>
      <w:r>
        <w:rPr>
          <w:rFonts w:ascii="Times New Roman"/>
          <w:b w:val="false"/>
          <w:i w:val="false"/>
          <w:color w:val="000000"/>
          <w:sz w:val="28"/>
        </w:rPr>
        <w:t>
      привлечение зарубежных специалистов – 9660 тысяч тенге;</w:t>
      </w:r>
    </w:p>
    <w:bookmarkEnd w:id="197"/>
    <w:bookmarkStart w:name="z216" w:id="198"/>
    <w:p>
      <w:pPr>
        <w:spacing w:after="0"/>
        <w:ind w:left="0"/>
        <w:jc w:val="both"/>
      </w:pPr>
      <w:r>
        <w:rPr>
          <w:rFonts w:ascii="Times New Roman"/>
          <w:b w:val="false"/>
          <w:i w:val="false"/>
          <w:color w:val="000000"/>
          <w:sz w:val="28"/>
        </w:rPr>
        <w:t>
      прочая уставная деятельность: всего 803417 тысяч тенге;</w:t>
      </w:r>
    </w:p>
    <w:bookmarkEnd w:id="198"/>
    <w:bookmarkStart w:name="z217" w:id="199"/>
    <w:p>
      <w:pPr>
        <w:spacing w:after="0"/>
        <w:ind w:left="0"/>
        <w:jc w:val="both"/>
      </w:pPr>
      <w:r>
        <w:rPr>
          <w:rFonts w:ascii="Times New Roman"/>
          <w:b w:val="false"/>
          <w:i w:val="false"/>
          <w:color w:val="000000"/>
          <w:sz w:val="28"/>
        </w:rPr>
        <w:t>
      в 2026 году:</w:t>
      </w:r>
    </w:p>
    <w:bookmarkEnd w:id="199"/>
    <w:bookmarkStart w:name="z218" w:id="200"/>
    <w:p>
      <w:pPr>
        <w:spacing w:after="0"/>
        <w:ind w:left="0"/>
        <w:jc w:val="both"/>
      </w:pPr>
      <w:r>
        <w:rPr>
          <w:rFonts w:ascii="Times New Roman"/>
          <w:b w:val="false"/>
          <w:i w:val="false"/>
          <w:color w:val="000000"/>
          <w:sz w:val="28"/>
        </w:rPr>
        <w:t>
      образовательная деятельность: за счет республиканского бюджета (в рамках государственного заказа) – 7932803 тысячи тенге; за счет местных бюджетов (в рамках государственного заказа) – 70000 тысяч тенге; внебюджетные средства (по договорам с физическими и юридическими лицами) – 5135558 тысяч тенге;</w:t>
      </w:r>
    </w:p>
    <w:bookmarkEnd w:id="200"/>
    <w:bookmarkStart w:name="z219" w:id="201"/>
    <w:p>
      <w:pPr>
        <w:spacing w:after="0"/>
        <w:ind w:left="0"/>
        <w:jc w:val="both"/>
      </w:pPr>
      <w:r>
        <w:rPr>
          <w:rFonts w:ascii="Times New Roman"/>
          <w:b w:val="false"/>
          <w:i w:val="false"/>
          <w:color w:val="000000"/>
          <w:sz w:val="28"/>
        </w:rPr>
        <w:t>
      научная деятельность: за счет республиканского бюджета (в рамках государственного заказа) – 1400000 тысяч тенге; внебюджетные средства (по заказам юридических лиц, квазигосударственного сектора) – 385230 тысяч тенге;</w:t>
      </w:r>
    </w:p>
    <w:bookmarkEnd w:id="201"/>
    <w:bookmarkStart w:name="z220" w:id="202"/>
    <w:p>
      <w:pPr>
        <w:spacing w:after="0"/>
        <w:ind w:left="0"/>
        <w:jc w:val="both"/>
      </w:pPr>
      <w:r>
        <w:rPr>
          <w:rFonts w:ascii="Times New Roman"/>
          <w:b w:val="false"/>
          <w:i w:val="false"/>
          <w:color w:val="000000"/>
          <w:sz w:val="28"/>
        </w:rPr>
        <w:t>
      академическая мобильность – 14333 тысячи тенге;</w:t>
      </w:r>
    </w:p>
    <w:bookmarkEnd w:id="202"/>
    <w:bookmarkStart w:name="z221" w:id="203"/>
    <w:p>
      <w:pPr>
        <w:spacing w:after="0"/>
        <w:ind w:left="0"/>
        <w:jc w:val="both"/>
      </w:pPr>
      <w:r>
        <w:rPr>
          <w:rFonts w:ascii="Times New Roman"/>
          <w:b w:val="false"/>
          <w:i w:val="false"/>
          <w:color w:val="000000"/>
          <w:sz w:val="28"/>
        </w:rPr>
        <w:t>
      привлечение зарубежных специалистов – 10143 тысячи тенге;</w:t>
      </w:r>
    </w:p>
    <w:bookmarkEnd w:id="203"/>
    <w:bookmarkStart w:name="z222" w:id="204"/>
    <w:p>
      <w:pPr>
        <w:spacing w:after="0"/>
        <w:ind w:left="0"/>
        <w:jc w:val="both"/>
      </w:pPr>
      <w:r>
        <w:rPr>
          <w:rFonts w:ascii="Times New Roman"/>
          <w:b w:val="false"/>
          <w:i w:val="false"/>
          <w:color w:val="000000"/>
          <w:sz w:val="28"/>
        </w:rPr>
        <w:t>
      прочая уставная деятельность: всего 692125 тысяч тенге;</w:t>
      </w:r>
    </w:p>
    <w:bookmarkEnd w:id="204"/>
    <w:bookmarkStart w:name="z223" w:id="205"/>
    <w:p>
      <w:pPr>
        <w:spacing w:after="0"/>
        <w:ind w:left="0"/>
        <w:jc w:val="both"/>
      </w:pPr>
      <w:r>
        <w:rPr>
          <w:rFonts w:ascii="Times New Roman"/>
          <w:b w:val="false"/>
          <w:i w:val="false"/>
          <w:color w:val="000000"/>
          <w:sz w:val="28"/>
        </w:rPr>
        <w:t>
      в 2027 году:</w:t>
      </w:r>
    </w:p>
    <w:bookmarkEnd w:id="205"/>
    <w:bookmarkStart w:name="z224" w:id="206"/>
    <w:p>
      <w:pPr>
        <w:spacing w:after="0"/>
        <w:ind w:left="0"/>
        <w:jc w:val="both"/>
      </w:pPr>
      <w:r>
        <w:rPr>
          <w:rFonts w:ascii="Times New Roman"/>
          <w:b w:val="false"/>
          <w:i w:val="false"/>
          <w:color w:val="000000"/>
          <w:sz w:val="28"/>
        </w:rPr>
        <w:t>
      образовательная деятельность: за счет республиканского бюджета (в рамках государственного заказа) – 8532803 тысячи тенге; за счет местных бюджетов (в рамках государственного заказа) – 70000 тысяч тенге; внебюджетные средства (по договорам с физическими и юридическими лицами) – 5735558 тысяч тенге;</w:t>
      </w:r>
    </w:p>
    <w:bookmarkEnd w:id="206"/>
    <w:bookmarkStart w:name="z225" w:id="207"/>
    <w:p>
      <w:pPr>
        <w:spacing w:after="0"/>
        <w:ind w:left="0"/>
        <w:jc w:val="both"/>
      </w:pPr>
      <w:r>
        <w:rPr>
          <w:rFonts w:ascii="Times New Roman"/>
          <w:b w:val="false"/>
          <w:i w:val="false"/>
          <w:color w:val="000000"/>
          <w:sz w:val="28"/>
        </w:rPr>
        <w:t>
      научная деятельность: за счет республиканского бюджета (в рамках государственного заказа) – 1600000 тысяч тенге; внебюджетные средства (по заказам юридических лиц, квазигосударственного сектора) – 404491 тысяча тенге;</w:t>
      </w:r>
    </w:p>
    <w:bookmarkEnd w:id="207"/>
    <w:bookmarkStart w:name="z226" w:id="208"/>
    <w:p>
      <w:pPr>
        <w:spacing w:after="0"/>
        <w:ind w:left="0"/>
        <w:jc w:val="both"/>
      </w:pPr>
      <w:r>
        <w:rPr>
          <w:rFonts w:ascii="Times New Roman"/>
          <w:b w:val="false"/>
          <w:i w:val="false"/>
          <w:color w:val="000000"/>
          <w:sz w:val="28"/>
        </w:rPr>
        <w:t>
      академическая мобильность – 15049 тысяч тенге;</w:t>
      </w:r>
    </w:p>
    <w:bookmarkEnd w:id="208"/>
    <w:bookmarkStart w:name="z227" w:id="209"/>
    <w:p>
      <w:pPr>
        <w:spacing w:after="0"/>
        <w:ind w:left="0"/>
        <w:jc w:val="both"/>
      </w:pPr>
      <w:r>
        <w:rPr>
          <w:rFonts w:ascii="Times New Roman"/>
          <w:b w:val="false"/>
          <w:i w:val="false"/>
          <w:color w:val="000000"/>
          <w:sz w:val="28"/>
        </w:rPr>
        <w:t>
      привлечение зарубежных специалистов – 10650 тысяч тенге;</w:t>
      </w:r>
    </w:p>
    <w:bookmarkEnd w:id="209"/>
    <w:bookmarkStart w:name="z228" w:id="210"/>
    <w:p>
      <w:pPr>
        <w:spacing w:after="0"/>
        <w:ind w:left="0"/>
        <w:jc w:val="both"/>
      </w:pPr>
      <w:r>
        <w:rPr>
          <w:rFonts w:ascii="Times New Roman"/>
          <w:b w:val="false"/>
          <w:i w:val="false"/>
          <w:color w:val="000000"/>
          <w:sz w:val="28"/>
        </w:rPr>
        <w:t>
      прочая уставная деятельность: всего 726801 тысяча тенге;</w:t>
      </w:r>
    </w:p>
    <w:bookmarkEnd w:id="210"/>
    <w:bookmarkStart w:name="z229" w:id="211"/>
    <w:p>
      <w:pPr>
        <w:spacing w:after="0"/>
        <w:ind w:left="0"/>
        <w:jc w:val="both"/>
      </w:pPr>
      <w:r>
        <w:rPr>
          <w:rFonts w:ascii="Times New Roman"/>
          <w:b w:val="false"/>
          <w:i w:val="false"/>
          <w:color w:val="000000"/>
          <w:sz w:val="28"/>
        </w:rPr>
        <w:t>
      привлеченные бюджетные инвестиции – 5925377 тысяч тенге;</w:t>
      </w:r>
    </w:p>
    <w:bookmarkEnd w:id="211"/>
    <w:bookmarkStart w:name="z230" w:id="212"/>
    <w:p>
      <w:pPr>
        <w:spacing w:after="0"/>
        <w:ind w:left="0"/>
        <w:jc w:val="both"/>
      </w:pPr>
      <w:r>
        <w:rPr>
          <w:rFonts w:ascii="Times New Roman"/>
          <w:b w:val="false"/>
          <w:i w:val="false"/>
          <w:color w:val="000000"/>
          <w:sz w:val="28"/>
        </w:rPr>
        <w:t>
      в 2028 году:</w:t>
      </w:r>
    </w:p>
    <w:bookmarkEnd w:id="212"/>
    <w:bookmarkStart w:name="z231" w:id="213"/>
    <w:p>
      <w:pPr>
        <w:spacing w:after="0"/>
        <w:ind w:left="0"/>
        <w:jc w:val="both"/>
      </w:pPr>
      <w:r>
        <w:rPr>
          <w:rFonts w:ascii="Times New Roman"/>
          <w:b w:val="false"/>
          <w:i w:val="false"/>
          <w:color w:val="000000"/>
          <w:sz w:val="28"/>
        </w:rPr>
        <w:t>
      образовательная деятельность: за счет республиканского бюджета (в рамках государственного заказа) – 9132803 тысячи тенге; за счет местных бюджетов (в рамках государственного заказа) – 70000 тысяч тенге; внебюджетные средства (по договорам с физическими и юридическими лицами) – 6335558 тысяч тенге;</w:t>
      </w:r>
    </w:p>
    <w:bookmarkEnd w:id="213"/>
    <w:bookmarkStart w:name="z232" w:id="214"/>
    <w:p>
      <w:pPr>
        <w:spacing w:after="0"/>
        <w:ind w:left="0"/>
        <w:jc w:val="both"/>
      </w:pPr>
      <w:r>
        <w:rPr>
          <w:rFonts w:ascii="Times New Roman"/>
          <w:b w:val="false"/>
          <w:i w:val="false"/>
          <w:color w:val="000000"/>
          <w:sz w:val="28"/>
        </w:rPr>
        <w:t>
      научная деятельность: за счет республиканского бюджета (в рамках государственного заказа) – 1800000 тысяч тенге; внебюджетные средства (по заказам юридических лиц, квазигосударственного сектора) – 424716 тысяч тенге;</w:t>
      </w:r>
    </w:p>
    <w:bookmarkEnd w:id="214"/>
    <w:bookmarkStart w:name="z233" w:id="215"/>
    <w:p>
      <w:pPr>
        <w:spacing w:after="0"/>
        <w:ind w:left="0"/>
        <w:jc w:val="both"/>
      </w:pPr>
      <w:r>
        <w:rPr>
          <w:rFonts w:ascii="Times New Roman"/>
          <w:b w:val="false"/>
          <w:i w:val="false"/>
          <w:color w:val="000000"/>
          <w:sz w:val="28"/>
        </w:rPr>
        <w:t>
      академическая мобильность – 15802 тысячи тенге;</w:t>
      </w:r>
    </w:p>
    <w:bookmarkEnd w:id="215"/>
    <w:bookmarkStart w:name="z234" w:id="216"/>
    <w:p>
      <w:pPr>
        <w:spacing w:after="0"/>
        <w:ind w:left="0"/>
        <w:jc w:val="both"/>
      </w:pPr>
      <w:r>
        <w:rPr>
          <w:rFonts w:ascii="Times New Roman"/>
          <w:b w:val="false"/>
          <w:i w:val="false"/>
          <w:color w:val="000000"/>
          <w:sz w:val="28"/>
        </w:rPr>
        <w:t>
      привлечение зарубежных специалистов – 11183 тысячи тенге;</w:t>
      </w:r>
    </w:p>
    <w:bookmarkEnd w:id="216"/>
    <w:bookmarkStart w:name="z235" w:id="217"/>
    <w:p>
      <w:pPr>
        <w:spacing w:after="0"/>
        <w:ind w:left="0"/>
        <w:jc w:val="both"/>
      </w:pPr>
      <w:r>
        <w:rPr>
          <w:rFonts w:ascii="Times New Roman"/>
          <w:b w:val="false"/>
          <w:i w:val="false"/>
          <w:color w:val="000000"/>
          <w:sz w:val="28"/>
        </w:rPr>
        <w:t>
      прочая уставная деятельность: всего 763016 тысяч тенге;</w:t>
      </w:r>
    </w:p>
    <w:bookmarkEnd w:id="217"/>
    <w:bookmarkStart w:name="z236" w:id="218"/>
    <w:p>
      <w:pPr>
        <w:spacing w:after="0"/>
        <w:ind w:left="0"/>
        <w:jc w:val="both"/>
      </w:pPr>
      <w:r>
        <w:rPr>
          <w:rFonts w:ascii="Times New Roman"/>
          <w:b w:val="false"/>
          <w:i w:val="false"/>
          <w:color w:val="000000"/>
          <w:sz w:val="28"/>
        </w:rPr>
        <w:t>
      привлеченные бюджетные инвестиции – 7767605 тысяч тенге.</w:t>
      </w:r>
    </w:p>
    <w:bookmarkEnd w:id="218"/>
    <w:p>
      <w:pPr>
        <w:spacing w:after="0"/>
        <w:ind w:left="0"/>
        <w:jc w:val="both"/>
      </w:pPr>
      <w:r>
        <w:rPr>
          <w:rFonts w:ascii="Times New Roman"/>
          <w:b/>
          <w:i w:val="false"/>
          <w:color w:val="000000"/>
          <w:sz w:val="28"/>
        </w:rPr>
        <w:t>Раздел 6. Описание ожидаемых результатов реализации Программы развития некоммерческого акционерного общества "Карагандинский университет имени академика Е.А. Букетова"</w:t>
      </w:r>
    </w:p>
    <w:bookmarkStart w:name="z238" w:id="219"/>
    <w:p>
      <w:pPr>
        <w:spacing w:after="0"/>
        <w:ind w:left="0"/>
        <w:jc w:val="both"/>
      </w:pPr>
      <w:r>
        <w:rPr>
          <w:rFonts w:ascii="Times New Roman"/>
          <w:b w:val="false"/>
          <w:i w:val="false"/>
          <w:color w:val="000000"/>
          <w:sz w:val="28"/>
        </w:rPr>
        <w:t>
      Программа развития предусматривает постепенное обновление управления научной деятельностью, формирование гибкой и открытой структуры научных подразделений в соответствии с моделью исследовательского университета.</w:t>
      </w:r>
    </w:p>
    <w:bookmarkEnd w:id="219"/>
    <w:bookmarkStart w:name="z239" w:id="220"/>
    <w:p>
      <w:pPr>
        <w:spacing w:after="0"/>
        <w:ind w:left="0"/>
        <w:jc w:val="both"/>
      </w:pPr>
      <w:r>
        <w:rPr>
          <w:rFonts w:ascii="Times New Roman"/>
          <w:b w:val="false"/>
          <w:i w:val="false"/>
          <w:color w:val="000000"/>
          <w:sz w:val="28"/>
        </w:rPr>
        <w:t>
      В процессе реализации ключевых задач Программы развития КарУ будут достигнуты следующие результаты на протяжении всего срока ее действия:</w:t>
      </w:r>
    </w:p>
    <w:bookmarkEnd w:id="220"/>
    <w:bookmarkStart w:name="z240" w:id="221"/>
    <w:p>
      <w:pPr>
        <w:spacing w:after="0"/>
        <w:ind w:left="0"/>
        <w:jc w:val="both"/>
      </w:pPr>
      <w:r>
        <w:rPr>
          <w:rFonts w:ascii="Times New Roman"/>
          <w:b w:val="false"/>
          <w:i w:val="false"/>
          <w:color w:val="000000"/>
          <w:sz w:val="28"/>
        </w:rPr>
        <w:t>
      Задача 1. Интеграция научной деятельности и образовательного процесса на всех уровнях высшего и послевузовского образования:</w:t>
      </w:r>
    </w:p>
    <w:bookmarkEnd w:id="221"/>
    <w:bookmarkStart w:name="z241" w:id="222"/>
    <w:p>
      <w:pPr>
        <w:spacing w:after="0"/>
        <w:ind w:left="0"/>
        <w:jc w:val="both"/>
      </w:pPr>
      <w:r>
        <w:rPr>
          <w:rFonts w:ascii="Times New Roman"/>
          <w:b w:val="false"/>
          <w:i w:val="false"/>
          <w:color w:val="000000"/>
          <w:sz w:val="28"/>
        </w:rPr>
        <w:t>
      1) позиция КарУ в рейтинге QS World University Rankings – позиция 700+;</w:t>
      </w:r>
    </w:p>
    <w:bookmarkEnd w:id="222"/>
    <w:bookmarkStart w:name="z242" w:id="223"/>
    <w:p>
      <w:pPr>
        <w:spacing w:after="0"/>
        <w:ind w:left="0"/>
        <w:jc w:val="both"/>
      </w:pPr>
      <w:r>
        <w:rPr>
          <w:rFonts w:ascii="Times New Roman"/>
          <w:b w:val="false"/>
          <w:i w:val="false"/>
          <w:color w:val="000000"/>
          <w:sz w:val="28"/>
        </w:rPr>
        <w:t>
      2) позиция в рейтинге QS Asia – позиция 150+;</w:t>
      </w:r>
    </w:p>
    <w:bookmarkEnd w:id="223"/>
    <w:bookmarkStart w:name="z243" w:id="224"/>
    <w:p>
      <w:pPr>
        <w:spacing w:after="0"/>
        <w:ind w:left="0"/>
        <w:jc w:val="both"/>
      </w:pPr>
      <w:r>
        <w:rPr>
          <w:rFonts w:ascii="Times New Roman"/>
          <w:b w:val="false"/>
          <w:i w:val="false"/>
          <w:color w:val="000000"/>
          <w:sz w:val="28"/>
        </w:rPr>
        <w:t>
      3) позиция в мировом рейтинге Times Higher Education – позиция 1501+;</w:t>
      </w:r>
    </w:p>
    <w:bookmarkEnd w:id="224"/>
    <w:bookmarkStart w:name="z244" w:id="225"/>
    <w:p>
      <w:pPr>
        <w:spacing w:after="0"/>
        <w:ind w:left="0"/>
        <w:jc w:val="both"/>
      </w:pPr>
      <w:r>
        <w:rPr>
          <w:rFonts w:ascii="Times New Roman"/>
          <w:b w:val="false"/>
          <w:i w:val="false"/>
          <w:color w:val="000000"/>
          <w:sz w:val="28"/>
        </w:rPr>
        <w:t>
      4) доля обновленного оборудования и исследовательской инфраструктуры – 20 %;</w:t>
      </w:r>
    </w:p>
    <w:bookmarkEnd w:id="225"/>
    <w:bookmarkStart w:name="z245" w:id="226"/>
    <w:p>
      <w:pPr>
        <w:spacing w:after="0"/>
        <w:ind w:left="0"/>
        <w:jc w:val="both"/>
      </w:pPr>
      <w:r>
        <w:rPr>
          <w:rFonts w:ascii="Times New Roman"/>
          <w:b w:val="false"/>
          <w:i w:val="false"/>
          <w:color w:val="000000"/>
          <w:sz w:val="28"/>
        </w:rPr>
        <w:t>
      5) число ведущих зарубежных ученых, вовлеченных в научную и образовательную деятельность КарУ, – 90;</w:t>
      </w:r>
    </w:p>
    <w:bookmarkEnd w:id="226"/>
    <w:bookmarkStart w:name="z246" w:id="227"/>
    <w:p>
      <w:pPr>
        <w:spacing w:after="0"/>
        <w:ind w:left="0"/>
        <w:jc w:val="both"/>
      </w:pPr>
      <w:r>
        <w:rPr>
          <w:rFonts w:ascii="Times New Roman"/>
          <w:b w:val="false"/>
          <w:i w:val="false"/>
          <w:color w:val="000000"/>
          <w:sz w:val="28"/>
        </w:rPr>
        <w:t>
      6) обновление образовательных программ на основе профессиональных стандартов и потребностей рынка труда – 15 %.</w:t>
      </w:r>
    </w:p>
    <w:bookmarkEnd w:id="227"/>
    <w:bookmarkStart w:name="z247" w:id="228"/>
    <w:p>
      <w:pPr>
        <w:spacing w:after="0"/>
        <w:ind w:left="0"/>
        <w:jc w:val="both"/>
      </w:pPr>
      <w:r>
        <w:rPr>
          <w:rFonts w:ascii="Times New Roman"/>
          <w:b w:val="false"/>
          <w:i w:val="false"/>
          <w:color w:val="000000"/>
          <w:sz w:val="28"/>
        </w:rPr>
        <w:t>
      Задача 2. Обеспечение равенства и доступности качественного образования, привлечение талантливой молодежи:</w:t>
      </w:r>
    </w:p>
    <w:bookmarkEnd w:id="228"/>
    <w:bookmarkStart w:name="z248" w:id="229"/>
    <w:p>
      <w:pPr>
        <w:spacing w:after="0"/>
        <w:ind w:left="0"/>
        <w:jc w:val="both"/>
      </w:pPr>
      <w:r>
        <w:rPr>
          <w:rFonts w:ascii="Times New Roman"/>
          <w:b w:val="false"/>
          <w:i w:val="false"/>
          <w:color w:val="000000"/>
          <w:sz w:val="28"/>
        </w:rPr>
        <w:t xml:space="preserve">
      1) доля иностранных студентов от общего количества студентов – 3,5 %; </w:t>
      </w:r>
    </w:p>
    <w:bookmarkEnd w:id="229"/>
    <w:bookmarkStart w:name="z249" w:id="230"/>
    <w:p>
      <w:pPr>
        <w:spacing w:after="0"/>
        <w:ind w:left="0"/>
        <w:jc w:val="both"/>
      </w:pPr>
      <w:r>
        <w:rPr>
          <w:rFonts w:ascii="Times New Roman"/>
          <w:b w:val="false"/>
          <w:i w:val="false"/>
          <w:color w:val="000000"/>
          <w:sz w:val="28"/>
        </w:rPr>
        <w:t>
      2) увеличение доли обучающихся на уровне послевузовского образования – 20 %;</w:t>
      </w:r>
    </w:p>
    <w:bookmarkEnd w:id="230"/>
    <w:bookmarkStart w:name="z250" w:id="231"/>
    <w:p>
      <w:pPr>
        <w:spacing w:after="0"/>
        <w:ind w:left="0"/>
        <w:jc w:val="both"/>
      </w:pPr>
      <w:r>
        <w:rPr>
          <w:rFonts w:ascii="Times New Roman"/>
          <w:b w:val="false"/>
          <w:i w:val="false"/>
          <w:color w:val="000000"/>
          <w:sz w:val="28"/>
        </w:rPr>
        <w:t>
      3) уровень созданных условий для инклюзивного образования в КарУ – 100 %;</w:t>
      </w:r>
    </w:p>
    <w:bookmarkEnd w:id="231"/>
    <w:bookmarkStart w:name="z251" w:id="232"/>
    <w:p>
      <w:pPr>
        <w:spacing w:after="0"/>
        <w:ind w:left="0"/>
        <w:jc w:val="both"/>
      </w:pPr>
      <w:r>
        <w:rPr>
          <w:rFonts w:ascii="Times New Roman"/>
          <w:b w:val="false"/>
          <w:i w:val="false"/>
          <w:color w:val="000000"/>
          <w:sz w:val="28"/>
        </w:rPr>
        <w:t>
      4) степень удовлетворенности работодателей качеством подготовки кадров (по результатам социологических исследований, используемых МНВО), образовательных услуг – 77 %;</w:t>
      </w:r>
    </w:p>
    <w:bookmarkEnd w:id="232"/>
    <w:bookmarkStart w:name="z252" w:id="233"/>
    <w:p>
      <w:pPr>
        <w:spacing w:after="0"/>
        <w:ind w:left="0"/>
        <w:jc w:val="both"/>
      </w:pPr>
      <w:r>
        <w:rPr>
          <w:rFonts w:ascii="Times New Roman"/>
          <w:b w:val="false"/>
          <w:i w:val="false"/>
          <w:color w:val="000000"/>
          <w:sz w:val="28"/>
        </w:rPr>
        <w:t>
      5) доля образовательных программ, при реализации которых используются мировые цифровые библиотеки, – 46,2 %.</w:t>
      </w:r>
    </w:p>
    <w:bookmarkEnd w:id="233"/>
    <w:bookmarkStart w:name="z253" w:id="234"/>
    <w:p>
      <w:pPr>
        <w:spacing w:after="0"/>
        <w:ind w:left="0"/>
        <w:jc w:val="both"/>
      </w:pPr>
      <w:r>
        <w:rPr>
          <w:rFonts w:ascii="Times New Roman"/>
          <w:b w:val="false"/>
          <w:i w:val="false"/>
          <w:color w:val="000000"/>
          <w:sz w:val="28"/>
        </w:rPr>
        <w:t>
      Задача 3. Реализация проектов в области фундаментальной и прикладной науки, которые позволят поднять интеллектуальный потенциал страны, повысить международный авторитет научных школ Казахстана:</w:t>
      </w:r>
    </w:p>
    <w:bookmarkEnd w:id="234"/>
    <w:bookmarkStart w:name="z254" w:id="235"/>
    <w:p>
      <w:pPr>
        <w:spacing w:after="0"/>
        <w:ind w:left="0"/>
        <w:jc w:val="both"/>
      </w:pPr>
      <w:r>
        <w:rPr>
          <w:rFonts w:ascii="Times New Roman"/>
          <w:b w:val="false"/>
          <w:i w:val="false"/>
          <w:color w:val="000000"/>
          <w:sz w:val="28"/>
        </w:rPr>
        <w:t>
      1) прирост объема финансирования фундаментальных и прикладных научно-исследовательских работ – 50 %;</w:t>
      </w:r>
    </w:p>
    <w:bookmarkEnd w:id="235"/>
    <w:bookmarkStart w:name="z255" w:id="236"/>
    <w:p>
      <w:pPr>
        <w:spacing w:after="0"/>
        <w:ind w:left="0"/>
        <w:jc w:val="both"/>
      </w:pPr>
      <w:r>
        <w:rPr>
          <w:rFonts w:ascii="Times New Roman"/>
          <w:b w:val="false"/>
          <w:i w:val="false"/>
          <w:color w:val="000000"/>
          <w:sz w:val="28"/>
        </w:rPr>
        <w:t>
      2) рост среднего числа цитирований научных публикаций в международных базах – 4,5;</w:t>
      </w:r>
    </w:p>
    <w:bookmarkEnd w:id="236"/>
    <w:bookmarkStart w:name="z256" w:id="237"/>
    <w:p>
      <w:pPr>
        <w:spacing w:after="0"/>
        <w:ind w:left="0"/>
        <w:jc w:val="both"/>
      </w:pPr>
      <w:r>
        <w:rPr>
          <w:rFonts w:ascii="Times New Roman"/>
          <w:b w:val="false"/>
          <w:i w:val="false"/>
          <w:color w:val="000000"/>
          <w:sz w:val="28"/>
        </w:rPr>
        <w:t>
      3) увеличение числа студентов – победителей научных конкурсов, конференций, олимпиад – 150;</w:t>
      </w:r>
    </w:p>
    <w:bookmarkEnd w:id="237"/>
    <w:bookmarkStart w:name="z257" w:id="238"/>
    <w:p>
      <w:pPr>
        <w:spacing w:after="0"/>
        <w:ind w:left="0"/>
        <w:jc w:val="both"/>
      </w:pPr>
      <w:r>
        <w:rPr>
          <w:rFonts w:ascii="Times New Roman"/>
          <w:b w:val="false"/>
          <w:i w:val="false"/>
          <w:color w:val="000000"/>
          <w:sz w:val="28"/>
        </w:rPr>
        <w:t>
      4) прирост доли ученых, имеющих степень доктора философии (PhD), докторов по профилю – 25.</w:t>
      </w:r>
    </w:p>
    <w:bookmarkEnd w:id="238"/>
    <w:bookmarkStart w:name="z258" w:id="239"/>
    <w:p>
      <w:pPr>
        <w:spacing w:after="0"/>
        <w:ind w:left="0"/>
        <w:jc w:val="both"/>
      </w:pPr>
      <w:r>
        <w:rPr>
          <w:rFonts w:ascii="Times New Roman"/>
          <w:b w:val="false"/>
          <w:i w:val="false"/>
          <w:color w:val="000000"/>
          <w:sz w:val="28"/>
        </w:rPr>
        <w:t>
      Задача 4. Внедрение в экономику региона результатов прикладных исследований ученых КарУ в виде продажи патентов, лицензий, разработки стартап-проектов:</w:t>
      </w:r>
    </w:p>
    <w:bookmarkEnd w:id="239"/>
    <w:bookmarkStart w:name="z259" w:id="240"/>
    <w:p>
      <w:pPr>
        <w:spacing w:after="0"/>
        <w:ind w:left="0"/>
        <w:jc w:val="both"/>
      </w:pPr>
      <w:r>
        <w:rPr>
          <w:rFonts w:ascii="Times New Roman"/>
          <w:b w:val="false"/>
          <w:i w:val="false"/>
          <w:color w:val="000000"/>
          <w:sz w:val="28"/>
        </w:rPr>
        <w:t>
      1) доля университетских грантов на проведение научно-прикладных исследований – 21 %;</w:t>
      </w:r>
    </w:p>
    <w:bookmarkEnd w:id="240"/>
    <w:bookmarkStart w:name="z260" w:id="241"/>
    <w:p>
      <w:pPr>
        <w:spacing w:after="0"/>
        <w:ind w:left="0"/>
        <w:jc w:val="both"/>
      </w:pPr>
      <w:r>
        <w:rPr>
          <w:rFonts w:ascii="Times New Roman"/>
          <w:b w:val="false"/>
          <w:i w:val="false"/>
          <w:color w:val="000000"/>
          <w:sz w:val="28"/>
        </w:rPr>
        <w:t>
      2) доля исследовательских работ совместно с предприятиями региона и страны – 15 %;</w:t>
      </w:r>
    </w:p>
    <w:bookmarkEnd w:id="241"/>
    <w:bookmarkStart w:name="z261" w:id="242"/>
    <w:p>
      <w:pPr>
        <w:spacing w:after="0"/>
        <w:ind w:left="0"/>
        <w:jc w:val="both"/>
      </w:pPr>
      <w:r>
        <w:rPr>
          <w:rFonts w:ascii="Times New Roman"/>
          <w:b w:val="false"/>
          <w:i w:val="false"/>
          <w:color w:val="000000"/>
          <w:sz w:val="28"/>
        </w:rPr>
        <w:t>
      3) доля реализуемых социально значимых для региона проектов – 12 %.</w:t>
      </w:r>
    </w:p>
    <w:bookmarkEnd w:id="242"/>
    <w:bookmarkStart w:name="z262" w:id="243"/>
    <w:p>
      <w:pPr>
        <w:spacing w:after="0"/>
        <w:ind w:left="0"/>
        <w:jc w:val="both"/>
      </w:pPr>
      <w:r>
        <w:rPr>
          <w:rFonts w:ascii="Times New Roman"/>
          <w:b w:val="false"/>
          <w:i w:val="false"/>
          <w:color w:val="000000"/>
          <w:sz w:val="28"/>
        </w:rPr>
        <w:t>
      Задача 5. Увеличение вклада КарУ в развитие общества:</w:t>
      </w:r>
    </w:p>
    <w:bookmarkEnd w:id="243"/>
    <w:bookmarkStart w:name="z263" w:id="244"/>
    <w:p>
      <w:pPr>
        <w:spacing w:after="0"/>
        <w:ind w:left="0"/>
        <w:jc w:val="both"/>
      </w:pPr>
      <w:r>
        <w:rPr>
          <w:rFonts w:ascii="Times New Roman"/>
          <w:b w:val="false"/>
          <w:i w:val="false"/>
          <w:color w:val="000000"/>
          <w:sz w:val="28"/>
        </w:rPr>
        <w:t>
      1) доля участия обучающихся, вовлеченных в организованную общественную деятельность КарУ, города, области, республики, – 42 %;</w:t>
      </w:r>
    </w:p>
    <w:bookmarkEnd w:id="244"/>
    <w:bookmarkStart w:name="z264" w:id="245"/>
    <w:p>
      <w:pPr>
        <w:spacing w:after="0"/>
        <w:ind w:left="0"/>
        <w:jc w:val="both"/>
      </w:pPr>
      <w:r>
        <w:rPr>
          <w:rFonts w:ascii="Times New Roman"/>
          <w:b w:val="false"/>
          <w:i w:val="false"/>
          <w:color w:val="000000"/>
          <w:sz w:val="28"/>
        </w:rPr>
        <w:t>
      2) доля трудоустроенных выпускников в 1-й год после завершения обучения по государственному образовательному заказу – 85,0 %;</w:t>
      </w:r>
    </w:p>
    <w:bookmarkEnd w:id="245"/>
    <w:bookmarkStart w:name="z265" w:id="246"/>
    <w:p>
      <w:pPr>
        <w:spacing w:after="0"/>
        <w:ind w:left="0"/>
        <w:jc w:val="both"/>
      </w:pPr>
      <w:r>
        <w:rPr>
          <w:rFonts w:ascii="Times New Roman"/>
          <w:b w:val="false"/>
          <w:i w:val="false"/>
          <w:color w:val="000000"/>
          <w:sz w:val="28"/>
        </w:rPr>
        <w:t xml:space="preserve">
      3) количество слушателей по программам Серебряного университета – 90. </w:t>
      </w:r>
    </w:p>
    <w:bookmarkEnd w:id="246"/>
    <w:bookmarkStart w:name="z266" w:id="247"/>
    <w:p>
      <w:pPr>
        <w:spacing w:after="0"/>
        <w:ind w:left="0"/>
        <w:jc w:val="both"/>
      </w:pPr>
      <w:r>
        <w:rPr>
          <w:rFonts w:ascii="Times New Roman"/>
          <w:b w:val="false"/>
          <w:i w:val="false"/>
          <w:color w:val="000000"/>
          <w:sz w:val="28"/>
        </w:rPr>
        <w:t>
      Для того, чтобы достичь успеха в реализации всех намеченных целей и задач, необходимо обладать гибкостью в реагировании на меняющиеся требования рынка труда, что позволит оперативно адаптировать образовательные программы и исследовательские проекты к текущим потребностям экономики и общества. Кроме того, крайне важно обеспечить достаточный уровень финансирования в рамках Программы развития, чтобы поддерживать качество образования, научные исследования и инфраструктурные проекты на высоком уровне, что в конечном итоге будет способствовать устойчивому развитию КарУ.</w:t>
      </w:r>
    </w:p>
    <w:bookmarkEnd w:id="247"/>
    <w:p>
      <w:pPr>
        <w:spacing w:after="0"/>
        <w:ind w:left="0"/>
        <w:jc w:val="both"/>
      </w:pPr>
      <w:r>
        <w:rPr>
          <w:rFonts w:ascii="Times New Roman"/>
          <w:b/>
          <w:i w:val="false"/>
          <w:color w:val="000000"/>
          <w:sz w:val="28"/>
        </w:rPr>
        <w:t>Раздел 7. Мониторинг и оценка прогресса реализации Программы некоммерческого акционерного общества "Карагандинский университет имени академика Е.А. Букетова"</w:t>
      </w:r>
    </w:p>
    <w:bookmarkStart w:name="z268" w:id="248"/>
    <w:p>
      <w:pPr>
        <w:spacing w:after="0"/>
        <w:ind w:left="0"/>
        <w:jc w:val="both"/>
      </w:pPr>
      <w:r>
        <w:rPr>
          <w:rFonts w:ascii="Times New Roman"/>
          <w:b w:val="false"/>
          <w:i w:val="false"/>
          <w:color w:val="000000"/>
          <w:sz w:val="28"/>
        </w:rPr>
        <w:t>
      Целевые индикаторы Программы развития КарУ и план мероприятий по реализации целевых индикаторов Программы развития КарУ приведены в приложениях 1 и 2 к настоящей Программе развития.</w:t>
      </w:r>
    </w:p>
    <w:bookmarkEnd w:id="248"/>
    <w:bookmarkStart w:name="z269" w:id="249"/>
    <w:p>
      <w:pPr>
        <w:spacing w:after="0"/>
        <w:ind w:left="0"/>
        <w:jc w:val="both"/>
      </w:pPr>
      <w:r>
        <w:rPr>
          <w:rFonts w:ascii="Times New Roman"/>
          <w:b w:val="false"/>
          <w:i w:val="false"/>
          <w:color w:val="000000"/>
          <w:sz w:val="28"/>
        </w:rPr>
        <w:t>
      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"Карагандинский</w:t>
            </w:r>
            <w:r>
              <w:br/>
            </w:r>
            <w:r>
              <w:rPr>
                <w:rFonts w:ascii="Times New Roman"/>
                <w:b w:val="false"/>
                <w:i w:val="false"/>
                <w:color w:val="000000"/>
                <w:sz w:val="20"/>
              </w:rPr>
              <w:t>университет имени академика</w:t>
            </w:r>
            <w:r>
              <w:br/>
            </w:r>
            <w:r>
              <w:rPr>
                <w:rFonts w:ascii="Times New Roman"/>
                <w:b w:val="false"/>
                <w:i w:val="false"/>
                <w:color w:val="000000"/>
                <w:sz w:val="20"/>
              </w:rPr>
              <w:t>Е.А. Букетова" на 2024 – 2028 годы</w:t>
            </w:r>
          </w:p>
        </w:tc>
      </w:tr>
    </w:tbl>
    <w:bookmarkStart w:name="z271" w:id="250"/>
    <w:p>
      <w:pPr>
        <w:spacing w:after="0"/>
        <w:ind w:left="0"/>
        <w:jc w:val="left"/>
      </w:pPr>
      <w:r>
        <w:rPr>
          <w:rFonts w:ascii="Times New Roman"/>
          <w:b/>
          <w:i w:val="false"/>
          <w:color w:val="000000"/>
        </w:rPr>
        <w:t xml:space="preserve"> Целевые индикаторы Программы развития некоммерческого акционерного общества "Карагандинский университет имени академика Е.А. Букетова"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трансформация некоммерческого акционерного общества "Карагандинский университет имени академика Е.А. Букетова" в исследовательский университет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научной деятельности и образовательного процесса на всех уровнях высшего и послевузовского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КарУ в рейтинге QS World University Rankings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781</w:t>
            </w:r>
          </w:p>
          <w:bookmarkEnd w:id="25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751</w:t>
            </w:r>
          </w:p>
          <w:bookmarkEnd w:id="25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731</w:t>
            </w:r>
          </w:p>
          <w:bookmarkEnd w:id="25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700</w:t>
            </w:r>
          </w:p>
          <w:bookmarkEnd w:id="254"/>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 в рейтинге QS Asia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в мировом рейтинге Times Higher Education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4</w:t>
            </w:r>
          </w:p>
          <w:bookmarkEnd w:id="25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обновленного оборудования и исследовательской инфраструктуры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ведущих зарубежных ученых, вовлеченных в научную и образовательную деятельность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образовательных программ на основе профессиональных стандартов и потребностей рынка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равенства и доступности качественного образования, привлечение талантливой молодежи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от общего количества студентов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обучающихся на уровне послевузовского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созданных условий для инклюзивного образования в КарУ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удовлетворенности работодателей качеством подготовки кадров (по результатам социологических исследований, используемых МНВО), образовательных услуг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образовательных программ, при реализации которых используются мировые цифровые библиотеки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Реализация проектов в области фундаментальной и прикладной науки, которые позволят поднять интеллектуальный потенциал страны, повысить международный авторитет научных школ Казахстана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финансирования фундаментальных и прикладных научно-исследовательских работ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среднего числа цитирований научных публикаций в международных базах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студентов – победителей научных конкурсов, конференций, олимпиад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доли ученых, имеющих степень доктора философии (PhD), докторов по профилю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Внедрение в экономику региона результатов прикладных исследований ученых КарУ в виде продажи патентов, лицензий, разработки стартап-проектов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университетских грантов на проведение научно-прикладных исследований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исследовательских работ совместно с предприятиями региона и страны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реализуемых социально значимых для региона проектов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Увеличение вклада КарУ в развитие общества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обучающихся, вовлеченных в организованную общественную деятельность КарУ, города, области, республики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1-й год после завершения обучения по государственному образовательному заказу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по программам Серебряного университета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277" w:id="256"/>
    <w:p>
      <w:pPr>
        <w:spacing w:after="0"/>
        <w:ind w:left="0"/>
        <w:jc w:val="both"/>
      </w:pPr>
      <w:r>
        <w:rPr>
          <w:rFonts w:ascii="Times New Roman"/>
          <w:b w:val="false"/>
          <w:i w:val="false"/>
          <w:color w:val="000000"/>
          <w:sz w:val="28"/>
        </w:rPr>
        <w:t>
      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"Карагандинский</w:t>
            </w:r>
            <w:r>
              <w:br/>
            </w:r>
            <w:r>
              <w:rPr>
                <w:rFonts w:ascii="Times New Roman"/>
                <w:b w:val="false"/>
                <w:i w:val="false"/>
                <w:color w:val="000000"/>
                <w:sz w:val="20"/>
              </w:rPr>
              <w:t>университет имени академика</w:t>
            </w:r>
            <w:r>
              <w:br/>
            </w:r>
            <w:r>
              <w:rPr>
                <w:rFonts w:ascii="Times New Roman"/>
                <w:b w:val="false"/>
                <w:i w:val="false"/>
                <w:color w:val="000000"/>
                <w:sz w:val="20"/>
              </w:rPr>
              <w:t xml:space="preserve"> Е.А. Букетова" на 2024 – 2028 годы</w:t>
            </w:r>
          </w:p>
        </w:tc>
      </w:tr>
    </w:tbl>
    <w:bookmarkStart w:name="z279" w:id="257"/>
    <w:p>
      <w:pPr>
        <w:spacing w:after="0"/>
        <w:ind w:left="0"/>
        <w:jc w:val="left"/>
      </w:pPr>
      <w:r>
        <w:rPr>
          <w:rFonts w:ascii="Times New Roman"/>
          <w:b/>
          <w:i w:val="false"/>
          <w:color w:val="000000"/>
        </w:rPr>
        <w:t xml:space="preserve"> План мероприятий по реализации целевых индикаторов Программы развития некоммерческого акционерного общества "Карагандинский университет имени академика Е.А. Букетова"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трансформация некоммерческого акционерного общества "Карагандинский университет имени академика Е.А. Букетова" в исследовательский университет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научной деятельности и образовательного процесса на всех уровнях высшего и послевузовского образования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КарУ в рейтинге QS World University Rankings</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КарУ в рейтинге QS Asia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КарУ в мировом рейтинге Times Higher Education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образовательных программ, в том числе в рамках двудипломного образования, совместно с ведущими университетами мира из Топ-500 рейтинга QS/Top-100 QS by Subject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единица</w:t>
            </w:r>
          </w:p>
          <w:bookmarkEnd w:id="258"/>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образовательные программы</w:t>
            </w:r>
          </w:p>
          <w:bookmarkEnd w:id="259"/>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зарубежных экспертов к преподавательской и научной деятельности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штате ППС,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и зарубежные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ППС в ведущих ОВПО и научных центрах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образовательных программ на основе профессиональных стандартов и потребностей рынка труда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оснащение научной инфраструктуры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инфраструктура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оборудования и исследовательской инфраструктуры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исследовательское оборудование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зеркальных лабораторий и лабораторий коллективного пользования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коллективного пользования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новых научных центров по приоритетным направлениям развития науки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научные подразделения</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равенства и доступности качественного образования, привлечение талантливой молодежи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контингента иностранных студентов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контингенте,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о зачислении обучающихся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 программах академической мобильности на триместр, семестр, учебный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контингенте,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результатов обучения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абитуриентов на обучение за счет грантов местных исполнительных органов,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контингенте,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о зачислении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работодателей, представителей бизнес-структур к учебному процессу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штате ППС,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xml:space="preserve">
приказы </w:t>
            </w:r>
          </w:p>
          <w:bookmarkEnd w:id="260"/>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образовательных программ в формате онлайн-обучения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образовательных программ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образовательную деятельность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обучающимися мировых цифровых платформ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результатов обучения</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Реализация проектов в области фундаментальной и прикладной науки, которые позволят поднять интеллектуальный потенциал страны, повысить международный авторитет научных школ Казахстана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тренингов по подготовке заявок на участие в научных конкурсах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финансируемых работ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интегрального GPA с учетом работы в лаборатории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лаборатории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лекций ведущих зарубежных и отечественных ученых по написанию статей в рейтинговых журналах и академическому письму, участию в конкурсах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публикуемые статьи, подготовленные заявки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прироста статей в индексируемых научных журналах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статей в индексируемых научных журналах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научных журналов КарУ,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индексируемых в международных базах данных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индексируемых научных журналов КарУ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стипендии для студентов, имеющих успехи в науке за счет собственных средств КарУ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занимающихся наукой студентов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поиска талантливой молодежи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молодых ученых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научных стажировок, командировок молодых ученых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молодых ученых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постдокторских программ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постдокторантов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состав диссертационных советов ведущих зарубежных ученых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привлеченных зарубежных ученых</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Внедрение в экономику региона результатов прикладных исследований ученых КарУ в виде продажи патентов, лицензий, разработки стартап-проектов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прикладные внутривузовские гранты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внутривузовский грант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инновационных структур совместно с предприятиями и организациями региона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инновационные структуры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соглашений с организациями региона и страны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совместных исследований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Увеличение вклада КарУ в развитие общества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тренингов, бесед, анкетирования (социально уязвимых слоев населения)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коммуникативной среды для поддержки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(видеоролики, эссе, викторины, дебатные, интеллектуальные, социальные)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конкурсов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конкурсов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взаимоотношений между обучающимися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(творческие, познавательные, духовные)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конкурсов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конкурсов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конкурсов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духовно-нравственного уровня студентов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по программам неформального образования, направленным на повышение цифровой грамотности, в возрасте 30-74 лет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по программам неформального образования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мероприятий, направленных на предупреждение коррупции, повышение уровня правовой культуры, формирование и развитие антикоррупционного сознания у студенческой молодежи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мероприятий, направленных на предупреждение коррупции, формирование антикоррупционного сознания</w:t>
            </w:r>
          </w:p>
        </w:tc>
      </w:tr>
    </w:tbl>
    <w:bookmarkStart w:name="z283" w:id="261"/>
    <w:p>
      <w:pPr>
        <w:spacing w:after="0"/>
        <w:ind w:left="0"/>
        <w:jc w:val="both"/>
      </w:pPr>
      <w:r>
        <w:rPr>
          <w:rFonts w:ascii="Times New Roman"/>
          <w:b w:val="false"/>
          <w:i w:val="false"/>
          <w:color w:val="000000"/>
          <w:sz w:val="28"/>
        </w:rPr>
        <w:t>
      _________________________</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