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73ab" w14:textId="f7f7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ноября 2012 года № 1418 "Об утверждении Устава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2024 года № 544.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Введение в действие см</w:t>
      </w:r>
      <w:r>
        <w:rPr>
          <w:rFonts w:ascii="Times New Roman"/>
          <w:b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2012 года № 1418 "Об утверждении Устава акционерного общества "Фонд национального благосостояния "Самрук-Қазына"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общества "Фонд национального благосостояния "Самрук-Қазына",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3) стимулирование разработки и внедрения в группе Фонда инновационных процессов и технологий, а также содействие в развитии инновационной деятельности</w:t>
      </w:r>
      <w:r>
        <w:rPr>
          <w:rFonts w:ascii="Times New Roman"/>
          <w:b/>
          <w:i w:val="false"/>
          <w:color w:val="000000"/>
          <w:sz w:val="28"/>
        </w:rPr>
        <w:t>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15-3)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"15-3) принятие решений о предоставлении кредита (займа) и (или) гарантий без обеспечения юридическим лицам, не входящим в группу Фонда, в рамках проектов, реализуемых по поручению Президента Республики Казахстан;".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абзацев третьего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22 июля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