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1ee7b" w14:textId="c41ee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финансирования проектов инженерно-коммуникационной инфраструктуры жилищно-коммунального хозяйства Республики Казахстан на 2024 – 2029 годы</w:t>
      </w:r>
    </w:p>
    <w:p>
      <w:pPr>
        <w:spacing w:after="0"/>
        <w:ind w:left="0"/>
        <w:jc w:val="both"/>
      </w:pPr>
      <w:r>
        <w:rPr>
          <w:rFonts w:ascii="Times New Roman"/>
          <w:b w:val="false"/>
          <w:i w:val="false"/>
          <w:color w:val="000000"/>
          <w:sz w:val="28"/>
        </w:rPr>
        <w:t>Постановление Правительства Республики Казахстан от 25 июля 2024 года № 607.</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Программу</w:t>
      </w:r>
      <w:r>
        <w:rPr>
          <w:rFonts w:ascii="Times New Roman"/>
          <w:b w:val="false"/>
          <w:i w:val="false"/>
          <w:color w:val="000000"/>
          <w:sz w:val="28"/>
        </w:rPr>
        <w:t xml:space="preserve"> финансирования проектов инженерно-коммуникационной инфраструктуры жилищно-коммунального хозяйства Республики Казахстан на 2024 – 2029 годы.</w:t>
      </w:r>
    </w:p>
    <w:bookmarkEnd w:id="1"/>
    <w:bookmarkStart w:name="z5" w:id="2"/>
    <w:p>
      <w:pPr>
        <w:spacing w:after="0"/>
        <w:ind w:left="0"/>
        <w:jc w:val="both"/>
      </w:pPr>
      <w:r>
        <w:rPr>
          <w:rFonts w:ascii="Times New Roman"/>
          <w:b w:val="false"/>
          <w:i w:val="false"/>
          <w:color w:val="000000"/>
          <w:sz w:val="28"/>
        </w:rPr>
        <w:t>
      2. Министерству национальной экономики Республики Казахстан заключить с акционерным обществом "Национальный управляющий холдинг "Байтерек", в том числе компаниями, входящими в группу холдинга (далее – финансирующие организации), соответствующее соглашение об утверждении с установленной периодичностью тарифов на услуги жилищно-коммунального хозяйства, покрывающих кредитные обязательства субъектов естественных монополий (в течение всего срока займа).</w:t>
      </w:r>
    </w:p>
    <w:bookmarkEnd w:id="2"/>
    <w:bookmarkStart w:name="z6" w:id="3"/>
    <w:p>
      <w:pPr>
        <w:spacing w:after="0"/>
        <w:ind w:left="0"/>
        <w:jc w:val="both"/>
      </w:pPr>
      <w:r>
        <w:rPr>
          <w:rFonts w:ascii="Times New Roman"/>
          <w:b w:val="false"/>
          <w:i w:val="false"/>
          <w:color w:val="000000"/>
          <w:sz w:val="28"/>
        </w:rPr>
        <w:t>
      3. Финансирующим организациям (по согласованию) осуществлять финансирование проектов субъектов естественных монополий в сфере жилищно-коммунального хозяйства независимо от влияния на финансово-хозяйственную деятельность финансирующих организаций.</w:t>
      </w:r>
    </w:p>
    <w:bookmarkEnd w:id="3"/>
    <w:bookmarkStart w:name="z7" w:id="4"/>
    <w:p>
      <w:pPr>
        <w:spacing w:after="0"/>
        <w:ind w:left="0"/>
        <w:jc w:val="both"/>
      </w:pPr>
      <w:r>
        <w:rPr>
          <w:rFonts w:ascii="Times New Roman"/>
          <w:b w:val="false"/>
          <w:i w:val="false"/>
          <w:color w:val="000000"/>
          <w:sz w:val="28"/>
        </w:rPr>
        <w:t>
      4. Контроль за исполнением настоящего постановления возложить на Министерство национальной экономики Республики Казахстан.</w:t>
      </w:r>
    </w:p>
    <w:bookmarkEnd w:id="4"/>
    <w:bookmarkStart w:name="z8" w:id="5"/>
    <w:p>
      <w:pPr>
        <w:spacing w:after="0"/>
        <w:ind w:left="0"/>
        <w:jc w:val="both"/>
      </w:pPr>
      <w:r>
        <w:rPr>
          <w:rFonts w:ascii="Times New Roman"/>
          <w:b w:val="false"/>
          <w:i w:val="false"/>
          <w:color w:val="000000"/>
          <w:sz w:val="28"/>
        </w:rPr>
        <w:t>
      5. Настоящее постановление вводится в действие со дня его подписания.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июля 2024 года № 607</w:t>
            </w:r>
          </w:p>
        </w:tc>
      </w:tr>
    </w:tbl>
    <w:bookmarkStart w:name="z11" w:id="6"/>
    <w:p>
      <w:pPr>
        <w:spacing w:after="0"/>
        <w:ind w:left="0"/>
        <w:jc w:val="left"/>
      </w:pPr>
      <w:r>
        <w:rPr>
          <w:rFonts w:ascii="Times New Roman"/>
          <w:b/>
          <w:i w:val="false"/>
          <w:color w:val="000000"/>
        </w:rPr>
        <w:t xml:space="preserve"> Программа финансирования проектов инженерно-коммуникационной инфраструктуры жилищно-коммунального хозяйства Республики Казахстан на 2024 – 2029 годы</w:t>
      </w:r>
    </w:p>
    <w:bookmarkEnd w:id="6"/>
    <w:bookmarkStart w:name="z12" w:id="7"/>
    <w:p>
      <w:pPr>
        <w:spacing w:after="0"/>
        <w:ind w:left="0"/>
        <w:jc w:val="both"/>
      </w:pPr>
      <w:r>
        <w:rPr>
          <w:rFonts w:ascii="Times New Roman"/>
          <w:b w:val="false"/>
          <w:i w:val="false"/>
          <w:color w:val="000000"/>
          <w:sz w:val="28"/>
        </w:rPr>
        <w:t>
      Содержание</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Паспорт Программы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Введение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Анализ текущей ситуации</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Цель, задача, целевые индикаторы и показатели результатов реализации Программы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Основные направления, пути достижения поставленных целей Программы и соответствующие меры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Необходимые ресурсы</w:t>
      </w:r>
      <w:r>
        <w:rPr>
          <w:rFonts w:ascii="Times New Roman"/>
          <w:b w:val="false"/>
          <w:i w:val="false"/>
          <w:color w:val="000000"/>
          <w:sz w:val="28"/>
        </w:rPr>
        <w:t>.</w:t>
      </w:r>
    </w:p>
    <w:bookmarkStart w:name="z19" w:id="8"/>
    <w:p>
      <w:pPr>
        <w:spacing w:after="0"/>
        <w:ind w:left="0"/>
        <w:jc w:val="left"/>
      </w:pPr>
      <w:r>
        <w:rPr>
          <w:rFonts w:ascii="Times New Roman"/>
          <w:b/>
          <w:i w:val="false"/>
          <w:color w:val="000000"/>
        </w:rPr>
        <w:t xml:space="preserve"> Раздел 1. Паспорт Программы</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финансирования проектов инженерно-коммуникационной инфраструктуры жилищно-коммунального хозяйства Республики Казахстан на 2024 – 2029 годы (далее – Программа)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разработки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26 ноября 2022 года № 2 "О мерах по реализации предвыборной программы Президента Республики Казахстан "Справедливый Казахстан – для всех и для каждого. Сейчас и навсегда";</w:t>
            </w:r>
          </w:p>
          <w:p>
            <w:pPr>
              <w:spacing w:after="20"/>
              <w:ind w:left="20"/>
              <w:jc w:val="both"/>
            </w:pPr>
            <w:r>
              <w:rPr>
                <w:rFonts w:ascii="Times New Roman"/>
                <w:b w:val="false"/>
                <w:i w:val="false"/>
                <w:color w:val="000000"/>
                <w:sz w:val="20"/>
              </w:rPr>
              <w:t>
</w:t>
            </w:r>
            <w:r>
              <w:rPr>
                <w:rFonts w:ascii="Times New Roman"/>
                <w:b w:val="false"/>
                <w:i w:val="false"/>
                <w:color w:val="000000"/>
                <w:sz w:val="20"/>
              </w:rPr>
              <w:t>постановление</w:t>
            </w:r>
            <w:r>
              <w:rPr>
                <w:rFonts w:ascii="Times New Roman"/>
                <w:b w:val="false"/>
                <w:i w:val="false"/>
                <w:color w:val="000000"/>
                <w:sz w:val="20"/>
              </w:rPr>
              <w:t xml:space="preserve"> Правительства Республики Казахстан от 23 сентября 2022 года № 736 "Об утверждении Концепции развития жилищно-коммунальной инфраструктуры на 2023 – 2029 годы"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Ответственный за разработку</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 (далее – МНЭ)</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Государственные органы и организации, ответственные за реализацию Программы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Центральные государственные органы, акционерное общество "Национальный управляющий холдинг "Байтерек" (далее – холдинг), в том числе компании, входящие в группу холдинга (по согласованию)</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модернизация (реконструкция, капитальный ремонт) инженерных сетей электро-, теплоснабжения и активов, задействованных при производстве тепловой энергии, в рамках инвестиционных программ субъектов естественных монополий (далее – СЕМ)</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Повышение уровня развития инженерно-коммуникационной инфраструктуры в стране путем финансирования строительства и модернизации (реконструкции, капитального ремонта) инженерных сетей электро-, теплоснабжения и активов, задействованных при производстве тепловой энергии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реализации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 2029 годы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w:t>
            </w:r>
          </w:p>
        </w:tc>
        <w:tc>
          <w:tcPr>
            <w:tcW w:w="6150" w:type="dxa"/>
            <w:tcBorders/>
            <w:tcMar>
              <w:top w:w="15" w:type="dxa"/>
              <w:left w:w="15" w:type="dxa"/>
              <w:bottom w:w="15" w:type="dxa"/>
              <w:right w:w="15" w:type="dxa"/>
            </w:tcMar>
            <w:vAlign w:val="center"/>
          </w:tcPr>
          <w:bookmarkStart w:name="z21" w:id="9"/>
          <w:p>
            <w:pPr>
              <w:spacing w:after="20"/>
              <w:ind w:left="20"/>
              <w:jc w:val="both"/>
            </w:pPr>
            <w:r>
              <w:rPr>
                <w:rFonts w:ascii="Times New Roman"/>
                <w:b w:val="false"/>
                <w:i w:val="false"/>
                <w:color w:val="000000"/>
                <w:sz w:val="20"/>
              </w:rPr>
              <w:t>
Достижение следующих целевых индикаторов:</w:t>
            </w:r>
          </w:p>
          <w:bookmarkEnd w:id="9"/>
          <w:p>
            <w:pPr>
              <w:spacing w:after="20"/>
              <w:ind w:left="20"/>
              <w:jc w:val="both"/>
            </w:pPr>
            <w:r>
              <w:rPr>
                <w:rFonts w:ascii="Times New Roman"/>
                <w:b w:val="false"/>
                <w:i w:val="false"/>
                <w:color w:val="000000"/>
                <w:sz w:val="20"/>
              </w:rPr>
              <w:t>
снижение показателя износа инженерных сетей электро-, теплоснабжения и активов, задействованных при производстве тепловой энергии, ежегодно в среднем на 2-3 % в зависимости от СЕМ и регулируемых услуг</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и объемы финансирования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Финансирование Программы будет осуществляться за счет средств республиканского бюджета (далее – РБ) и средств финансирующих организаций</w:t>
            </w:r>
          </w:p>
        </w:tc>
      </w:tr>
    </w:tbl>
    <w:bookmarkStart w:name="z22" w:id="10"/>
    <w:p>
      <w:pPr>
        <w:spacing w:after="0"/>
        <w:ind w:left="0"/>
        <w:jc w:val="both"/>
      </w:pPr>
      <w:r>
        <w:rPr>
          <w:rFonts w:ascii="Times New Roman"/>
          <w:b w:val="false"/>
          <w:i w:val="false"/>
          <w:color w:val="000000"/>
          <w:sz w:val="28"/>
        </w:rPr>
        <w:t>
      Примечание:</w:t>
      </w:r>
    </w:p>
    <w:bookmarkEnd w:id="10"/>
    <w:bookmarkStart w:name="z23" w:id="11"/>
    <w:p>
      <w:pPr>
        <w:spacing w:after="0"/>
        <w:ind w:left="0"/>
        <w:jc w:val="both"/>
      </w:pPr>
      <w:r>
        <w:rPr>
          <w:rFonts w:ascii="Times New Roman"/>
          <w:b w:val="false"/>
          <w:i w:val="false"/>
          <w:color w:val="000000"/>
          <w:sz w:val="28"/>
        </w:rPr>
        <w:t>
      Выполнение целевых индикаторов Программы будет зависеть от объемов финансирования Программы на соответствующие финансовые годы и количества профинансированных СЕМ.</w:t>
      </w:r>
    </w:p>
    <w:bookmarkEnd w:id="11"/>
    <w:bookmarkStart w:name="z24" w:id="12"/>
    <w:p>
      <w:pPr>
        <w:spacing w:after="0"/>
        <w:ind w:left="0"/>
        <w:jc w:val="left"/>
      </w:pPr>
      <w:r>
        <w:rPr>
          <w:rFonts w:ascii="Times New Roman"/>
          <w:b/>
          <w:i w:val="false"/>
          <w:color w:val="000000"/>
        </w:rPr>
        <w:t xml:space="preserve"> Раздел 2. Введение</w:t>
      </w:r>
    </w:p>
    <w:bookmarkEnd w:id="12"/>
    <w:bookmarkStart w:name="z25" w:id="13"/>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Концепции</w:t>
      </w:r>
      <w:r>
        <w:rPr>
          <w:rFonts w:ascii="Times New Roman"/>
          <w:b w:val="false"/>
          <w:i w:val="false"/>
          <w:color w:val="000000"/>
          <w:sz w:val="28"/>
        </w:rPr>
        <w:t xml:space="preserve"> развития жилищно-коммунальной инфраструктуры на 2023 – 2029 годы, утвержденной постановлением Правительства Республики Казахстан от 23 сентября 2022 года № 736, будут приняты меры, направленные на обновление и наращивание жилищного фонда, модернизацию и развитие коммунальной инфраструктуры. Внедряемые интеллектуальные системы и цифровые технологии будут направлены на удовлетворение основных ожиданий и интересов населения страны и способствовать повышению равного доступа к базовым услугам жизнедеятельности.</w:t>
      </w:r>
    </w:p>
    <w:bookmarkEnd w:id="13"/>
    <w:bookmarkStart w:name="z26" w:id="14"/>
    <w:p>
      <w:pPr>
        <w:spacing w:after="0"/>
        <w:ind w:left="0"/>
        <w:jc w:val="both"/>
      </w:pPr>
      <w:r>
        <w:rPr>
          <w:rFonts w:ascii="Times New Roman"/>
          <w:b w:val="false"/>
          <w:i w:val="false"/>
          <w:color w:val="000000"/>
          <w:sz w:val="28"/>
        </w:rPr>
        <w:t xml:space="preserve">
      В настоящих реалиях особую важность приобретает консолидация усилий государственных органов, а также средств РБ, международных финансовых организаций и финансовых организаций Республики Казахстан для четкой приоритизации и оптимального распределения ресурсов в целях финансирования проектов жилищно-коммунального хозяйства (далее – ЖКХ). </w:t>
      </w:r>
    </w:p>
    <w:bookmarkEnd w:id="14"/>
    <w:bookmarkStart w:name="z27" w:id="15"/>
    <w:p>
      <w:pPr>
        <w:spacing w:after="0"/>
        <w:ind w:left="0"/>
        <w:jc w:val="both"/>
      </w:pPr>
      <w:r>
        <w:rPr>
          <w:rFonts w:ascii="Times New Roman"/>
          <w:b w:val="false"/>
          <w:i w:val="false"/>
          <w:color w:val="000000"/>
          <w:sz w:val="28"/>
        </w:rPr>
        <w:t>
      В целях создания комфортных условий жизнедеятельности населения необходима реализация комплекса мер по модернизации и развитию коммунального сектора, в первую очередь, систем энергоснабжения (тепло-, электроснабжения).</w:t>
      </w:r>
    </w:p>
    <w:bookmarkEnd w:id="15"/>
    <w:bookmarkStart w:name="z28" w:id="16"/>
    <w:p>
      <w:pPr>
        <w:spacing w:after="0"/>
        <w:ind w:left="0"/>
        <w:jc w:val="both"/>
      </w:pPr>
      <w:r>
        <w:rPr>
          <w:rFonts w:ascii="Times New Roman"/>
          <w:b w:val="false"/>
          <w:i w:val="false"/>
          <w:color w:val="000000"/>
          <w:sz w:val="28"/>
        </w:rPr>
        <w:t xml:space="preserve">
      В результате реализации Программы ожидаются: </w:t>
      </w:r>
    </w:p>
    <w:bookmarkEnd w:id="16"/>
    <w:bookmarkStart w:name="z29" w:id="17"/>
    <w:p>
      <w:pPr>
        <w:spacing w:after="0"/>
        <w:ind w:left="0"/>
        <w:jc w:val="both"/>
      </w:pPr>
      <w:r>
        <w:rPr>
          <w:rFonts w:ascii="Times New Roman"/>
          <w:b w:val="false"/>
          <w:i w:val="false"/>
          <w:color w:val="000000"/>
          <w:sz w:val="28"/>
        </w:rPr>
        <w:t xml:space="preserve">
      снижение показателя износа инженерных сетей электро-, теплоснабжения и активов, задействованных при производстве тепловой энергии, ежегодно в среднем на 2-3 % в зависимости от СЕМ и регулируемых услуг; </w:t>
      </w:r>
    </w:p>
    <w:bookmarkEnd w:id="17"/>
    <w:bookmarkStart w:name="z30" w:id="18"/>
    <w:p>
      <w:pPr>
        <w:spacing w:after="0"/>
        <w:ind w:left="0"/>
        <w:jc w:val="both"/>
      </w:pPr>
      <w:r>
        <w:rPr>
          <w:rFonts w:ascii="Times New Roman"/>
          <w:b w:val="false"/>
          <w:i w:val="false"/>
          <w:color w:val="000000"/>
          <w:sz w:val="28"/>
        </w:rPr>
        <w:t>
      снижение давления на конечные тарифы регулируемых коммунальных услуг путем перераспределения привлекаемых инвестиционных средств на долгосрочный период.</w:t>
      </w:r>
    </w:p>
    <w:bookmarkEnd w:id="18"/>
    <w:bookmarkStart w:name="z31" w:id="19"/>
    <w:p>
      <w:pPr>
        <w:spacing w:after="0"/>
        <w:ind w:left="0"/>
        <w:jc w:val="left"/>
      </w:pPr>
      <w:r>
        <w:rPr>
          <w:rFonts w:ascii="Times New Roman"/>
          <w:b/>
          <w:i w:val="false"/>
          <w:color w:val="000000"/>
        </w:rPr>
        <w:t xml:space="preserve"> Раздел 3. Анализ текущей ситуации</w:t>
      </w:r>
    </w:p>
    <w:bookmarkEnd w:id="19"/>
    <w:bookmarkStart w:name="z32" w:id="20"/>
    <w:p>
      <w:pPr>
        <w:spacing w:after="0"/>
        <w:ind w:left="0"/>
        <w:jc w:val="both"/>
      </w:pPr>
      <w:r>
        <w:rPr>
          <w:rFonts w:ascii="Times New Roman"/>
          <w:b w:val="false"/>
          <w:i w:val="false"/>
          <w:color w:val="000000"/>
          <w:sz w:val="28"/>
        </w:rPr>
        <w:t>
      Сфера ЖКХ представляет собой два основных взаимосвязанных элемента:</w:t>
      </w:r>
    </w:p>
    <w:bookmarkEnd w:id="20"/>
    <w:bookmarkStart w:name="z33" w:id="21"/>
    <w:p>
      <w:pPr>
        <w:spacing w:after="0"/>
        <w:ind w:left="0"/>
        <w:jc w:val="both"/>
      </w:pPr>
      <w:r>
        <w:rPr>
          <w:rFonts w:ascii="Times New Roman"/>
          <w:b w:val="false"/>
          <w:i w:val="false"/>
          <w:color w:val="000000"/>
          <w:sz w:val="28"/>
        </w:rPr>
        <w:t>
      1) коммунальный сектор, включающий в себя системы, обеспечивающие водо-, газо-, тепло-, электроснабжение и водоотведение, благоустройство и содержание объектов общего пользования и территории населенных пунктов;</w:t>
      </w:r>
    </w:p>
    <w:bookmarkEnd w:id="21"/>
    <w:bookmarkStart w:name="z34" w:id="22"/>
    <w:p>
      <w:pPr>
        <w:spacing w:after="0"/>
        <w:ind w:left="0"/>
        <w:jc w:val="both"/>
      </w:pPr>
      <w:r>
        <w:rPr>
          <w:rFonts w:ascii="Times New Roman"/>
          <w:b w:val="false"/>
          <w:i w:val="false"/>
          <w:color w:val="000000"/>
          <w:sz w:val="28"/>
        </w:rPr>
        <w:t>
      2) жилищный сектор, включающий в себя многоэтажные жилые дома и индивидуальные домостроения, являющиеся основными потребителями коммунальных услуг.</w:t>
      </w:r>
    </w:p>
    <w:bookmarkEnd w:id="22"/>
    <w:bookmarkStart w:name="z35" w:id="23"/>
    <w:p>
      <w:pPr>
        <w:spacing w:after="0"/>
        <w:ind w:left="0"/>
        <w:jc w:val="left"/>
      </w:pPr>
      <w:r>
        <w:rPr>
          <w:rFonts w:ascii="Times New Roman"/>
          <w:b/>
          <w:i w:val="false"/>
          <w:color w:val="000000"/>
        </w:rPr>
        <w:t xml:space="preserve"> Подраздел 1. Оценка текущего состояния теплоснабжения</w:t>
      </w:r>
    </w:p>
    <w:bookmarkEnd w:id="23"/>
    <w:bookmarkStart w:name="z36" w:id="24"/>
    <w:p>
      <w:pPr>
        <w:spacing w:after="0"/>
        <w:ind w:left="0"/>
        <w:jc w:val="both"/>
      </w:pPr>
      <w:r>
        <w:rPr>
          <w:rFonts w:ascii="Times New Roman"/>
          <w:b w:val="false"/>
          <w:i w:val="false"/>
          <w:color w:val="000000"/>
          <w:sz w:val="28"/>
        </w:rPr>
        <w:t xml:space="preserve">
      С 2019 по 2022 годы длина тепловых сетей в республике возросла на 300 километров, достигнув 13,9 тыс. километров с предыдущих 13,6 тыс. километров. Процент тепловых сетей, нуждающихся в ремонте, уменьшился за этот период с 61 % до 54 %. </w:t>
      </w:r>
    </w:p>
    <w:bookmarkEnd w:id="24"/>
    <w:bookmarkStart w:name="z37" w:id="25"/>
    <w:p>
      <w:pPr>
        <w:spacing w:after="0"/>
        <w:ind w:left="0"/>
        <w:jc w:val="both"/>
      </w:pPr>
      <w:r>
        <w:rPr>
          <w:rFonts w:ascii="Times New Roman"/>
          <w:b w:val="false"/>
          <w:i w:val="false"/>
          <w:color w:val="000000"/>
          <w:sz w:val="28"/>
        </w:rPr>
        <w:t>
      Теплоснабжение осуществляется через централизованные и локальные системы, опирающиеся на теплоэлектроцентрали и котельные. По состоянию на 2022 год в стране насчитывалось 2865 источников теплоснабжения, включая 798 автономных. Общая мощность всех тепловых источников на 1 января 2023 года составила 37566,7 гигакалорий в час. Выработка тепловой энергии в 2022 году достигла 95,6 млн гигакалорий с основной долей от ТЭЦ (55,9 млн гигакалорий) и котельных (32,6 млн гигакалорий).</w:t>
      </w:r>
    </w:p>
    <w:bookmarkEnd w:id="25"/>
    <w:bookmarkStart w:name="z38" w:id="26"/>
    <w:p>
      <w:pPr>
        <w:spacing w:after="0"/>
        <w:ind w:left="0"/>
        <w:jc w:val="both"/>
      </w:pPr>
      <w:r>
        <w:rPr>
          <w:rFonts w:ascii="Times New Roman"/>
          <w:b w:val="false"/>
          <w:i w:val="false"/>
          <w:color w:val="000000"/>
          <w:sz w:val="28"/>
        </w:rPr>
        <w:t>
      К тепловым сетям подключены 1734299 абонентов, из которых большинство – бытовые потребители (1596910 абонентов). В рамках кредитования и субсидирования с 2019 по 2022 годы было реализовано 60 проектов по строительству и реконструкции 220,7 километра теплоснабжающих сетей, что позволило снизить количество аварий на 14 %.</w:t>
      </w:r>
    </w:p>
    <w:bookmarkEnd w:id="26"/>
    <w:bookmarkStart w:name="z39" w:id="27"/>
    <w:p>
      <w:pPr>
        <w:spacing w:after="0"/>
        <w:ind w:left="0"/>
        <w:jc w:val="left"/>
      </w:pPr>
      <w:r>
        <w:rPr>
          <w:rFonts w:ascii="Times New Roman"/>
          <w:b/>
          <w:i w:val="false"/>
          <w:color w:val="000000"/>
        </w:rPr>
        <w:t xml:space="preserve"> Подраздел 2. Оценка текущего состояния электроснабжения</w:t>
      </w:r>
    </w:p>
    <w:bookmarkEnd w:id="27"/>
    <w:bookmarkStart w:name="z40" w:id="28"/>
    <w:p>
      <w:pPr>
        <w:spacing w:after="0"/>
        <w:ind w:left="0"/>
        <w:jc w:val="both"/>
      </w:pPr>
      <w:r>
        <w:rPr>
          <w:rFonts w:ascii="Times New Roman"/>
          <w:b w:val="false"/>
          <w:i w:val="false"/>
          <w:color w:val="000000"/>
          <w:sz w:val="28"/>
        </w:rPr>
        <w:t>
      Установленная мощность электростанций единой энергетической системы Республики Казахстан по состоянию на 1 января 2024 года составила 4 641,9 мегаватт, располагаемая мощность – 20 428,1 мегаватт.</w:t>
      </w:r>
    </w:p>
    <w:bookmarkEnd w:id="28"/>
    <w:bookmarkStart w:name="z41" w:id="29"/>
    <w:p>
      <w:pPr>
        <w:spacing w:after="0"/>
        <w:ind w:left="0"/>
        <w:jc w:val="both"/>
      </w:pPr>
      <w:r>
        <w:rPr>
          <w:rFonts w:ascii="Times New Roman"/>
          <w:b w:val="false"/>
          <w:i w:val="false"/>
          <w:color w:val="000000"/>
          <w:sz w:val="28"/>
        </w:rPr>
        <w:t xml:space="preserve">
      Производство электроэнергии в стране осуществляет 222 электрические станции различных форм собственности. Выработано электроэнергии в 2022 году 115 млрд киловатт-час. Производство составило 112,8 млрд киловатт-час, импорт электрической энергии из сопредельных стран – 3,4 млрд киловатт-час, экспорт – 1,4 млрд киловатт-час. </w:t>
      </w:r>
    </w:p>
    <w:bookmarkEnd w:id="29"/>
    <w:bookmarkStart w:name="z42" w:id="30"/>
    <w:p>
      <w:pPr>
        <w:spacing w:after="0"/>
        <w:ind w:left="0"/>
        <w:jc w:val="both"/>
      </w:pPr>
      <w:r>
        <w:rPr>
          <w:rFonts w:ascii="Times New Roman"/>
          <w:b w:val="false"/>
          <w:i w:val="false"/>
          <w:color w:val="000000"/>
          <w:sz w:val="28"/>
        </w:rPr>
        <w:t>
      В электроснабжении обеспеченность счетчиками электроэнергии достигает 100 %, однако большая часть этих приборов учета устарела и не соответствует современным требованиям к энергоэффективности. Старые индукционные счетчики не способны учитывать потребление современных электроприборов, работающих на низких токах, из-за чего возникают коммерческие потери. Особенно это критично при низких температурах, характерных для большинства регионов страны, где индукционные приборы демонстрируют высокую погрешность. Кроме того, изношенные устройства могут самопроизвольно учитывать потребление, увеличивая показания без фактического потребления энергии.</w:t>
      </w:r>
    </w:p>
    <w:bookmarkEnd w:id="30"/>
    <w:bookmarkStart w:name="z43" w:id="31"/>
    <w:p>
      <w:pPr>
        <w:spacing w:after="0"/>
        <w:ind w:left="0"/>
        <w:jc w:val="both"/>
      </w:pPr>
      <w:r>
        <w:rPr>
          <w:rFonts w:ascii="Times New Roman"/>
          <w:b w:val="false"/>
          <w:i w:val="false"/>
          <w:color w:val="000000"/>
          <w:sz w:val="28"/>
        </w:rPr>
        <w:t xml:space="preserve">
      На данный момент индукционные счетчики все еще занесены в государственный реестр измерительных средств и принимаются для поверки, что позволяет продолжать их использование. Однако существует потребность в поэтапном изъятии этих моделей из эксплуатации и замене их на более современные приборы учета с возможностью дистанционного снятия показаний, что улучшит точность учета и повысит эффективность системы электроснабжения. </w:t>
      </w:r>
    </w:p>
    <w:bookmarkEnd w:id="31"/>
    <w:bookmarkStart w:name="z44" w:id="32"/>
    <w:p>
      <w:pPr>
        <w:spacing w:after="0"/>
        <w:ind w:left="0"/>
        <w:jc w:val="both"/>
      </w:pPr>
      <w:r>
        <w:rPr>
          <w:rFonts w:ascii="Times New Roman"/>
          <w:b w:val="false"/>
          <w:i w:val="false"/>
          <w:color w:val="000000"/>
          <w:sz w:val="28"/>
        </w:rPr>
        <w:t>
      Основными проблемами наращивания и своевременного обновления коммунальной инфраструктуры являются:</w:t>
      </w:r>
    </w:p>
    <w:bookmarkEnd w:id="32"/>
    <w:bookmarkStart w:name="z45" w:id="33"/>
    <w:p>
      <w:pPr>
        <w:spacing w:after="0"/>
        <w:ind w:left="0"/>
        <w:jc w:val="both"/>
      </w:pPr>
      <w:r>
        <w:rPr>
          <w:rFonts w:ascii="Times New Roman"/>
          <w:b w:val="false"/>
          <w:i w:val="false"/>
          <w:color w:val="000000"/>
          <w:sz w:val="28"/>
        </w:rPr>
        <w:t>
      высокая потребность в финансовых ресурсах, необходимых для модернизации коммунальной инфраструктуры;</w:t>
      </w:r>
    </w:p>
    <w:bookmarkEnd w:id="33"/>
    <w:bookmarkStart w:name="z46" w:id="34"/>
    <w:p>
      <w:pPr>
        <w:spacing w:after="0"/>
        <w:ind w:left="0"/>
        <w:jc w:val="both"/>
      </w:pPr>
      <w:r>
        <w:rPr>
          <w:rFonts w:ascii="Times New Roman"/>
          <w:b w:val="false"/>
          <w:i w:val="false"/>
          <w:color w:val="000000"/>
          <w:sz w:val="28"/>
        </w:rPr>
        <w:t>
      непривлекательность для инвесторов систем и объектов коммунальной инфраструктуры в малых и средних городах с небольшим количеством потребителей;</w:t>
      </w:r>
    </w:p>
    <w:bookmarkEnd w:id="34"/>
    <w:bookmarkStart w:name="z47" w:id="35"/>
    <w:p>
      <w:pPr>
        <w:spacing w:after="0"/>
        <w:ind w:left="0"/>
        <w:jc w:val="both"/>
      </w:pPr>
      <w:r>
        <w:rPr>
          <w:rFonts w:ascii="Times New Roman"/>
          <w:b w:val="false"/>
          <w:i w:val="false"/>
          <w:color w:val="000000"/>
          <w:sz w:val="28"/>
        </w:rPr>
        <w:t>
      отсутствие квалифицированных кадров, достоверной информации по протяженности и состоянию сетей коммунальной инфраструктуры в разрезе регионов;</w:t>
      </w:r>
    </w:p>
    <w:bookmarkEnd w:id="35"/>
    <w:bookmarkStart w:name="z48" w:id="36"/>
    <w:p>
      <w:pPr>
        <w:spacing w:after="0"/>
        <w:ind w:left="0"/>
        <w:jc w:val="both"/>
      </w:pPr>
      <w:r>
        <w:rPr>
          <w:rFonts w:ascii="Times New Roman"/>
          <w:b w:val="false"/>
          <w:i w:val="false"/>
          <w:color w:val="000000"/>
          <w:sz w:val="28"/>
        </w:rPr>
        <w:t>
      низкая степень внедрения новых технологий в сфере ЖКХ;</w:t>
      </w:r>
    </w:p>
    <w:bookmarkEnd w:id="36"/>
    <w:bookmarkStart w:name="z49" w:id="37"/>
    <w:p>
      <w:pPr>
        <w:spacing w:after="0"/>
        <w:ind w:left="0"/>
        <w:jc w:val="both"/>
      </w:pPr>
      <w:r>
        <w:rPr>
          <w:rFonts w:ascii="Times New Roman"/>
          <w:b w:val="false"/>
          <w:i w:val="false"/>
          <w:color w:val="000000"/>
          <w:sz w:val="28"/>
        </w:rPr>
        <w:t>
      низкая степень информированности жителей о преимуществах новых технологий, систем учета потребления ресурсов.</w:t>
      </w:r>
    </w:p>
    <w:bookmarkEnd w:id="37"/>
    <w:bookmarkStart w:name="z50" w:id="38"/>
    <w:p>
      <w:pPr>
        <w:spacing w:after="0"/>
        <w:ind w:left="0"/>
        <w:jc w:val="left"/>
      </w:pPr>
      <w:r>
        <w:rPr>
          <w:rFonts w:ascii="Times New Roman"/>
          <w:b/>
          <w:i w:val="false"/>
          <w:color w:val="000000"/>
        </w:rPr>
        <w:t xml:space="preserve"> Раздел 4. Цель, задача, целевые индикаторы и показатели результатов реализации Программы</w:t>
      </w:r>
    </w:p>
    <w:bookmarkEnd w:id="38"/>
    <w:bookmarkStart w:name="z51" w:id="39"/>
    <w:p>
      <w:pPr>
        <w:spacing w:after="0"/>
        <w:ind w:left="0"/>
        <w:jc w:val="both"/>
      </w:pPr>
      <w:r>
        <w:rPr>
          <w:rFonts w:ascii="Times New Roman"/>
          <w:b w:val="false"/>
          <w:i w:val="false"/>
          <w:color w:val="000000"/>
          <w:sz w:val="28"/>
        </w:rPr>
        <w:t>
      Целью Программы является финансирование строительства и модернизации (реконструкция, капитальный ремонт) инженерных сетей электро-, теплоснабжения и активов, задействованных при производстве тепловой энергии СЕМ.</w:t>
      </w:r>
    </w:p>
    <w:bookmarkEnd w:id="39"/>
    <w:bookmarkStart w:name="z52" w:id="40"/>
    <w:p>
      <w:pPr>
        <w:spacing w:after="0"/>
        <w:ind w:left="0"/>
        <w:jc w:val="both"/>
      </w:pPr>
      <w:r>
        <w:rPr>
          <w:rFonts w:ascii="Times New Roman"/>
          <w:b w:val="false"/>
          <w:i w:val="false"/>
          <w:color w:val="000000"/>
          <w:sz w:val="28"/>
        </w:rPr>
        <w:t>
      Достижение данной цели будет измеряться следующими целевыми индикаторами:</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1"/>
          <w:p>
            <w:pPr>
              <w:spacing w:after="20"/>
              <w:ind w:left="20"/>
              <w:jc w:val="both"/>
            </w:pPr>
            <w:r>
              <w:rPr>
                <w:rFonts w:ascii="Times New Roman"/>
                <w:b w:val="false"/>
                <w:i w:val="false"/>
                <w:color w:val="000000"/>
                <w:sz w:val="20"/>
              </w:rPr>
              <w:t>
№</w:t>
            </w:r>
          </w:p>
          <w:bookmarkEnd w:id="41"/>
          <w:p>
            <w:pPr>
              <w:spacing w:after="20"/>
              <w:ind w:left="20"/>
              <w:jc w:val="both"/>
            </w:pPr>
            <w:r>
              <w:rPr>
                <w:rFonts w:ascii="Times New Roman"/>
                <w:b w:val="false"/>
                <w:i w:val="false"/>
                <w:color w:val="000000"/>
                <w:sz w:val="20"/>
              </w:rPr>
              <w:t>
п/п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индикаторы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2"/>
          <w:p>
            <w:pPr>
              <w:spacing w:after="20"/>
              <w:ind w:left="20"/>
              <w:jc w:val="both"/>
            </w:pPr>
            <w:r>
              <w:rPr>
                <w:rFonts w:ascii="Times New Roman"/>
                <w:b w:val="false"/>
                <w:i w:val="false"/>
                <w:color w:val="000000"/>
                <w:sz w:val="20"/>
              </w:rPr>
              <w:t>
Источник</w:t>
            </w:r>
          </w:p>
          <w:bookmarkEnd w:id="42"/>
          <w:p>
            <w:pPr>
              <w:spacing w:after="20"/>
              <w:ind w:left="20"/>
              <w:jc w:val="both"/>
            </w:pPr>
            <w:r>
              <w:rPr>
                <w:rFonts w:ascii="Times New Roman"/>
                <w:b w:val="false"/>
                <w:i w:val="false"/>
                <w:color w:val="000000"/>
                <w:sz w:val="20"/>
              </w:rPr>
              <w:t>
информации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Действующий</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год</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среднего показателя износа инженерных сетей теплоснабжения и активов, задействованных при производстве тепловой энергии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среднего показателя износа инженерных сетей электроснабжения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МНЭ</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bookmarkStart w:name="z55" w:id="43"/>
    <w:p>
      <w:pPr>
        <w:spacing w:after="0"/>
        <w:ind w:left="0"/>
        <w:jc w:val="both"/>
      </w:pPr>
      <w:r>
        <w:rPr>
          <w:rFonts w:ascii="Times New Roman"/>
          <w:b w:val="false"/>
          <w:i w:val="false"/>
          <w:color w:val="000000"/>
          <w:sz w:val="28"/>
        </w:rPr>
        <w:t>
      Примечание:</w:t>
      </w:r>
    </w:p>
    <w:bookmarkEnd w:id="43"/>
    <w:bookmarkStart w:name="z56" w:id="44"/>
    <w:p>
      <w:pPr>
        <w:spacing w:after="0"/>
        <w:ind w:left="0"/>
        <w:jc w:val="both"/>
      </w:pPr>
      <w:r>
        <w:rPr>
          <w:rFonts w:ascii="Times New Roman"/>
          <w:b w:val="false"/>
          <w:i w:val="false"/>
          <w:color w:val="000000"/>
          <w:sz w:val="28"/>
        </w:rPr>
        <w:t>
      За базовый год считается 2025 год (1 год) и достижение индикаторов определяется от объемов финансирования на соответствующие финансовые годы от количества профинансированных СЕМ.</w:t>
      </w:r>
    </w:p>
    <w:bookmarkEnd w:id="44"/>
    <w:bookmarkStart w:name="z57" w:id="45"/>
    <w:p>
      <w:pPr>
        <w:spacing w:after="0"/>
        <w:ind w:left="0"/>
        <w:jc w:val="left"/>
      </w:pPr>
      <w:r>
        <w:rPr>
          <w:rFonts w:ascii="Times New Roman"/>
          <w:b/>
          <w:i w:val="false"/>
          <w:color w:val="000000"/>
        </w:rPr>
        <w:t xml:space="preserve"> Раздел 5. Основные направления, пути достижения поставленных целей Программы и соответствующие меры</w:t>
      </w:r>
    </w:p>
    <w:bookmarkEnd w:id="45"/>
    <w:p>
      <w:pPr>
        <w:spacing w:after="0"/>
        <w:ind w:left="0"/>
        <w:jc w:val="both"/>
      </w:pPr>
      <w:r>
        <w:rPr>
          <w:rFonts w:ascii="Times New Roman"/>
          <w:b w:val="false"/>
          <w:i w:val="false"/>
          <w:color w:val="ff0000"/>
          <w:sz w:val="28"/>
        </w:rPr>
        <w:t xml:space="preserve">
      Сноска. Раздел 5 – в редакции постановления Правительства РК от 24.10.2024 </w:t>
      </w:r>
      <w:r>
        <w:rPr>
          <w:rFonts w:ascii="Times New Roman"/>
          <w:b w:val="false"/>
          <w:i w:val="false"/>
          <w:color w:val="ff0000"/>
          <w:sz w:val="28"/>
        </w:rPr>
        <w:t>№ 882</w:t>
      </w:r>
      <w:r>
        <w:rPr>
          <w:rFonts w:ascii="Times New Roman"/>
          <w:b w:val="false"/>
          <w:i w:val="false"/>
          <w:color w:val="ff0000"/>
          <w:sz w:val="28"/>
        </w:rPr>
        <w:t>.</w:t>
      </w:r>
    </w:p>
    <w:bookmarkStart w:name="z87" w:id="46"/>
    <w:p>
      <w:pPr>
        <w:spacing w:after="0"/>
        <w:ind w:left="0"/>
        <w:jc w:val="both"/>
      </w:pPr>
      <w:r>
        <w:rPr>
          <w:rFonts w:ascii="Times New Roman"/>
          <w:b w:val="false"/>
          <w:i w:val="false"/>
          <w:color w:val="000000"/>
          <w:sz w:val="28"/>
        </w:rPr>
        <w:t>
      Программа будет реализовываться в направлении модернизации и развития жилищно-коммунального сектора, а именно инженерных сетей электро-, теплоснабжения и активов, задействованных при производстве тепловой энергии СЕМ.</w:t>
      </w:r>
    </w:p>
    <w:bookmarkEnd w:id="46"/>
    <w:bookmarkStart w:name="z88" w:id="47"/>
    <w:p>
      <w:pPr>
        <w:spacing w:after="0"/>
        <w:ind w:left="0"/>
        <w:jc w:val="both"/>
      </w:pPr>
      <w:r>
        <w:rPr>
          <w:rFonts w:ascii="Times New Roman"/>
          <w:b w:val="false"/>
          <w:i w:val="false"/>
          <w:color w:val="000000"/>
          <w:sz w:val="28"/>
        </w:rPr>
        <w:t>
      Финансирование проектов в сфере строительства и модернизации (реконструкция, капитальный ремонт) инженерных сетей электро-, теплоснабжения и активов, задействованных при производстве тепловой энергии СЕМ, будет осуществляться, помимо собственных средств СЕМ, за счет средств финансирующих организаций и средств РБ в пропорции 60/40.</w:t>
      </w:r>
    </w:p>
    <w:bookmarkEnd w:id="47"/>
    <w:bookmarkStart w:name="z89" w:id="48"/>
    <w:p>
      <w:pPr>
        <w:spacing w:after="0"/>
        <w:ind w:left="0"/>
        <w:jc w:val="both"/>
      </w:pPr>
      <w:r>
        <w:rPr>
          <w:rFonts w:ascii="Times New Roman"/>
          <w:b w:val="false"/>
          <w:i w:val="false"/>
          <w:color w:val="000000"/>
          <w:sz w:val="28"/>
        </w:rPr>
        <w:t>
      Вместе с тем за счет бюджетного кредитования финансируются расходы, направленные на строительство и модернизацию (реконструкция и капитальный ремонт).</w:t>
      </w:r>
    </w:p>
    <w:bookmarkEnd w:id="48"/>
    <w:bookmarkStart w:name="z90" w:id="49"/>
    <w:p>
      <w:pPr>
        <w:spacing w:after="0"/>
        <w:ind w:left="0"/>
        <w:jc w:val="both"/>
      </w:pPr>
      <w:r>
        <w:rPr>
          <w:rFonts w:ascii="Times New Roman"/>
          <w:b w:val="false"/>
          <w:i w:val="false"/>
          <w:color w:val="000000"/>
          <w:sz w:val="28"/>
        </w:rPr>
        <w:t>
      При этом финансирование указанных проектов СЕМ будет осуществляться с использованием следующих механизмов:</w:t>
      </w:r>
    </w:p>
    <w:bookmarkEnd w:id="49"/>
    <w:bookmarkStart w:name="z91" w:id="50"/>
    <w:p>
      <w:pPr>
        <w:spacing w:after="0"/>
        <w:ind w:left="0"/>
        <w:jc w:val="both"/>
      </w:pPr>
      <w:r>
        <w:rPr>
          <w:rFonts w:ascii="Times New Roman"/>
          <w:b w:val="false"/>
          <w:i w:val="false"/>
          <w:color w:val="000000"/>
          <w:sz w:val="28"/>
        </w:rPr>
        <w:t>
      прямое кредитование финансирующими организациями СЕМ;</w:t>
      </w:r>
    </w:p>
    <w:bookmarkEnd w:id="50"/>
    <w:bookmarkStart w:name="z92" w:id="51"/>
    <w:p>
      <w:pPr>
        <w:spacing w:after="0"/>
        <w:ind w:left="0"/>
        <w:jc w:val="both"/>
      </w:pPr>
      <w:r>
        <w:rPr>
          <w:rFonts w:ascii="Times New Roman"/>
          <w:b w:val="false"/>
          <w:i w:val="false"/>
          <w:color w:val="000000"/>
          <w:sz w:val="28"/>
        </w:rPr>
        <w:t>
      финансирование СЕМ за счет выпуска местными исполнительными органами государственных ценных бумаг.</w:t>
      </w:r>
    </w:p>
    <w:bookmarkEnd w:id="51"/>
    <w:bookmarkStart w:name="z62" w:id="52"/>
    <w:p>
      <w:pPr>
        <w:spacing w:after="0"/>
        <w:ind w:left="0"/>
        <w:jc w:val="left"/>
      </w:pPr>
      <w:r>
        <w:rPr>
          <w:rFonts w:ascii="Times New Roman"/>
          <w:b/>
          <w:i w:val="false"/>
          <w:color w:val="000000"/>
        </w:rPr>
        <w:t xml:space="preserve"> Подраздел 3. Прямое кредитование субъектов естественных монополий финансирующими организациями осуществляется на следующих основных условиях:</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Финансирующие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Холдинг, в том числе компании, входящие в группу холдинга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Заемщик (-и)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3"/>
          <w:p>
            <w:pPr>
              <w:spacing w:after="20"/>
              <w:ind w:left="20"/>
              <w:jc w:val="both"/>
            </w:pPr>
            <w:r>
              <w:rPr>
                <w:rFonts w:ascii="Times New Roman"/>
                <w:b w:val="false"/>
                <w:i w:val="false"/>
                <w:color w:val="000000"/>
                <w:sz w:val="20"/>
              </w:rPr>
              <w:t>
Юридические лица, показатель износа инженерных сетей электро-, теплоснабжения и активов, задействованность при производстве тепловой энергии которых составляет более 55 %:</w:t>
            </w:r>
          </w:p>
          <w:bookmarkEnd w:id="53"/>
          <w:p>
            <w:pPr>
              <w:spacing w:after="20"/>
              <w:ind w:left="20"/>
              <w:jc w:val="both"/>
            </w:pPr>
            <w:r>
              <w:rPr>
                <w:rFonts w:ascii="Times New Roman"/>
                <w:b w:val="false"/>
                <w:i w:val="false"/>
                <w:color w:val="000000"/>
                <w:sz w:val="20"/>
              </w:rPr>
              <w:t>
</w:t>
            </w:r>
            <w:r>
              <w:rPr>
                <w:rFonts w:ascii="Times New Roman"/>
                <w:b w:val="false"/>
                <w:i w:val="false"/>
                <w:color w:val="000000"/>
                <w:sz w:val="20"/>
              </w:rPr>
              <w:t>государственные предприятия (далее – государственные заемщики);</w:t>
            </w:r>
          </w:p>
          <w:p>
            <w:pPr>
              <w:spacing w:after="20"/>
              <w:ind w:left="20"/>
              <w:jc w:val="both"/>
            </w:pPr>
            <w:r>
              <w:rPr>
                <w:rFonts w:ascii="Times New Roman"/>
                <w:b w:val="false"/>
                <w:i w:val="false"/>
                <w:color w:val="000000"/>
                <w:sz w:val="20"/>
              </w:rPr>
              <w:t>
акционерные общества, товарищества с ограниченной ответственностью (далее – негосударственные заемщики)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критерии отбора инвестиционных проектов СЕМ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4"/>
          <w:p>
            <w:pPr>
              <w:spacing w:after="20"/>
              <w:ind w:left="20"/>
              <w:jc w:val="both"/>
            </w:pPr>
            <w:r>
              <w:rPr>
                <w:rFonts w:ascii="Times New Roman"/>
                <w:b w:val="false"/>
                <w:i w:val="false"/>
                <w:color w:val="000000"/>
                <w:sz w:val="20"/>
              </w:rPr>
              <w:t>
Приоритетным условием финансирования инвестиционного проекта СЕМ является показатель износа инженерных сетей электро-, теплоснабжения и активов, задействованных при производстве тепловой энергии, более 55 % (на основании информации МНЭ);</w:t>
            </w:r>
          </w:p>
          <w:bookmarkEnd w:id="54"/>
          <w:p>
            <w:pPr>
              <w:spacing w:after="20"/>
              <w:ind w:left="20"/>
              <w:jc w:val="both"/>
            </w:pPr>
            <w:r>
              <w:rPr>
                <w:rFonts w:ascii="Times New Roman"/>
                <w:b w:val="false"/>
                <w:i w:val="false"/>
                <w:color w:val="000000"/>
                <w:sz w:val="20"/>
              </w:rPr>
              <w:t>
</w:t>
            </w:r>
            <w:r>
              <w:rPr>
                <w:rFonts w:ascii="Times New Roman"/>
                <w:b w:val="false"/>
                <w:i w:val="false"/>
                <w:color w:val="000000"/>
                <w:sz w:val="20"/>
              </w:rPr>
              <w:t>технологическая и техническая обоснованность проектных решений;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наличие подтверждающего документа по инвестиционной программе о запланированном ежегодном приросте тарифа на услуги ЖКХ заемщика с учетом привлеченных объемов средств в рамках Программы и обязательств.</w:t>
            </w:r>
          </w:p>
          <w:p>
            <w:pPr>
              <w:spacing w:after="20"/>
              <w:ind w:left="20"/>
              <w:jc w:val="both"/>
            </w:pPr>
            <w:r>
              <w:rPr>
                <w:rFonts w:ascii="Times New Roman"/>
                <w:b w:val="false"/>
                <w:i w:val="false"/>
                <w:color w:val="000000"/>
                <w:sz w:val="20"/>
              </w:rPr>
              <w:t>
</w:t>
            </w:r>
            <w:r>
              <w:rPr>
                <w:rFonts w:ascii="Times New Roman"/>
                <w:b w:val="false"/>
                <w:i w:val="false"/>
                <w:color w:val="000000"/>
                <w:sz w:val="20"/>
              </w:rPr>
              <w:t>При этом в данном документе должны быть предусмотрены обязательства государственного органа о включении необходимых затрат на компенсацию основного долга с учетом вознаграждений в размер тарифа на услуги ЖКХ при условии проведения со стороны финансирующей организации реструктуризации займа заемщика, связанной с отсутствием возможности их обслуживания.</w:t>
            </w:r>
          </w:p>
          <w:p>
            <w:pPr>
              <w:spacing w:after="20"/>
              <w:ind w:left="20"/>
              <w:jc w:val="both"/>
            </w:pPr>
            <w:r>
              <w:rPr>
                <w:rFonts w:ascii="Times New Roman"/>
                <w:b w:val="false"/>
                <w:i w:val="false"/>
                <w:color w:val="000000"/>
                <w:sz w:val="20"/>
              </w:rPr>
              <w:t>
Отсутствие свыше 90 (девяносто) дней непогашенной задолженности по привлеченным у третьих лиц займам или платежам в бюджет на момент подачи заявки на предоставление финансирования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займа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Определяется индивидуально по каждому заемщику по результатам экспертизы финансирующей организации, при этом минимальная сумма займа составляет 1000000000 (один миллиард)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финансирования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18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доступности суммы займа для заемщика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(до 2029 года включительно)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каждого займа в рамках финансирования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Валюта займа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Льготный период по займу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оплате основного долга и вознаграждения – в соответствии с условиями соответствующего договора, но не более 24 (двадцать четыре) месяцев с даты подписания договора банковского займа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собственного участия заемщика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5"/>
          <w:p>
            <w:pPr>
              <w:spacing w:after="20"/>
              <w:ind w:left="20"/>
              <w:jc w:val="both"/>
            </w:pPr>
            <w:r>
              <w:rPr>
                <w:rFonts w:ascii="Times New Roman"/>
                <w:b w:val="false"/>
                <w:i w:val="false"/>
                <w:color w:val="000000"/>
                <w:sz w:val="20"/>
              </w:rPr>
              <w:t>
Негосударственные заемщики – от 10 % от стоимости проекта;</w:t>
            </w:r>
          </w:p>
          <w:bookmarkEnd w:id="55"/>
          <w:p>
            <w:pPr>
              <w:spacing w:after="20"/>
              <w:ind w:left="20"/>
              <w:jc w:val="both"/>
            </w:pPr>
            <w:r>
              <w:rPr>
                <w:rFonts w:ascii="Times New Roman"/>
                <w:b w:val="false"/>
                <w:i w:val="false"/>
                <w:color w:val="000000"/>
                <w:sz w:val="20"/>
              </w:rPr>
              <w:t>
государственные заемщики – от 0 % от стоимости проекта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Ставка вознаграждения для заемщика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11,19 % (одиннадцать целых, девятнадцать сотых) годовых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Расходы финансирующих организаций в рамках проекта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6"/>
          <w:p>
            <w:pPr>
              <w:spacing w:after="20"/>
              <w:ind w:left="20"/>
              <w:jc w:val="both"/>
            </w:pPr>
            <w:r>
              <w:rPr>
                <w:rFonts w:ascii="Times New Roman"/>
                <w:b w:val="false"/>
                <w:i w:val="false"/>
                <w:color w:val="000000"/>
                <w:sz w:val="20"/>
              </w:rPr>
              <w:t>
Возмещению со стороны заемщика подлежат расходы, связанные с привлечением финансирующей организацией эксперта (финансово-технический консультант) на период проведения строительства и модернизации (реконструкция, капитальный ремонт).</w:t>
            </w:r>
          </w:p>
          <w:bookmarkEnd w:id="56"/>
          <w:p>
            <w:pPr>
              <w:spacing w:after="20"/>
              <w:ind w:left="20"/>
              <w:jc w:val="both"/>
            </w:pPr>
            <w:r>
              <w:rPr>
                <w:rFonts w:ascii="Times New Roman"/>
                <w:b w:val="false"/>
                <w:i w:val="false"/>
                <w:color w:val="000000"/>
                <w:sz w:val="20"/>
              </w:rPr>
              <w:t>
При этом заемщиком могут быть самостоятельно привлечены и оплачены услуги указанных экспертов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Комиссии (за кредитование, изменение условий финансирования)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7"/>
          <w:p>
            <w:pPr>
              <w:spacing w:after="20"/>
              <w:ind w:left="20"/>
              <w:jc w:val="both"/>
            </w:pPr>
            <w:r>
              <w:rPr>
                <w:rFonts w:ascii="Times New Roman"/>
                <w:b w:val="false"/>
                <w:i w:val="false"/>
                <w:color w:val="000000"/>
                <w:sz w:val="20"/>
              </w:rPr>
              <w:t>
Не применяются.</w:t>
            </w:r>
          </w:p>
          <w:bookmarkEnd w:id="5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 этом в случае оплаты финансирующей организацией услуг эксперта (финансово-технический консультант) на период проведения строительства и модернизации (реконструкция, капитальный ремонт) расходы оплачиваются заемщиком финансирующей организации в виде комиссии. </w:t>
            </w:r>
          </w:p>
          <w:p>
            <w:pPr>
              <w:spacing w:after="20"/>
              <w:ind w:left="20"/>
              <w:jc w:val="both"/>
            </w:pPr>
            <w:r>
              <w:rPr>
                <w:rFonts w:ascii="Times New Roman"/>
                <w:b w:val="false"/>
                <w:i w:val="false"/>
                <w:color w:val="000000"/>
                <w:sz w:val="20"/>
              </w:rPr>
              <w:t>
В случаях самостоятельного привлечения и оплаты заемщиком услуг указанных экспертов комиссия не взимается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по исполнению обязательств заемщика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58"/>
          <w:p>
            <w:pPr>
              <w:spacing w:after="20"/>
              <w:ind w:left="20"/>
              <w:jc w:val="both"/>
            </w:pPr>
            <w:r>
              <w:rPr>
                <w:rFonts w:ascii="Times New Roman"/>
                <w:b w:val="false"/>
                <w:i w:val="false"/>
                <w:color w:val="000000"/>
                <w:sz w:val="20"/>
              </w:rPr>
              <w:t xml:space="preserve">
Гарантия социально-предпринимательской корпорации, осуществляющей деятельность в соответствующем регионе (по государственным заемщикам); </w:t>
            </w:r>
          </w:p>
          <w:bookmarkEnd w:id="58"/>
          <w:p>
            <w:pPr>
              <w:spacing w:after="20"/>
              <w:ind w:left="20"/>
              <w:jc w:val="both"/>
            </w:pPr>
            <w:r>
              <w:rPr>
                <w:rFonts w:ascii="Times New Roman"/>
                <w:b w:val="false"/>
                <w:i w:val="false"/>
                <w:color w:val="000000"/>
                <w:sz w:val="20"/>
              </w:rPr>
              <w:t>
</w:t>
            </w:r>
            <w:r>
              <w:rPr>
                <w:rFonts w:ascii="Times New Roman"/>
                <w:b w:val="false"/>
                <w:i w:val="false"/>
                <w:color w:val="000000"/>
                <w:sz w:val="20"/>
              </w:rPr>
              <w:t>гарантии акционеров/участников и конечных бенефициаров заемщика (по негосударственным заемщикам);</w:t>
            </w:r>
          </w:p>
          <w:p>
            <w:pPr>
              <w:spacing w:after="20"/>
              <w:ind w:left="20"/>
              <w:jc w:val="both"/>
            </w:pPr>
            <w:r>
              <w:rPr>
                <w:rFonts w:ascii="Times New Roman"/>
                <w:b w:val="false"/>
                <w:i w:val="false"/>
                <w:color w:val="000000"/>
                <w:sz w:val="20"/>
              </w:rPr>
              <w:t>
</w:t>
            </w:r>
            <w:r>
              <w:rPr>
                <w:rFonts w:ascii="Times New Roman"/>
                <w:b w:val="false"/>
                <w:i w:val="false"/>
                <w:color w:val="000000"/>
                <w:sz w:val="20"/>
              </w:rPr>
              <w:t>денежные средства, поступающие в рамках соглашения о контроле за совершением расходных операций заемщика, на счет заемщика в банке-агенте;</w:t>
            </w:r>
          </w:p>
          <w:p>
            <w:pPr>
              <w:spacing w:after="20"/>
              <w:ind w:left="20"/>
              <w:jc w:val="both"/>
            </w:pPr>
            <w:r>
              <w:rPr>
                <w:rFonts w:ascii="Times New Roman"/>
                <w:b w:val="false"/>
                <w:i w:val="false"/>
                <w:color w:val="000000"/>
                <w:sz w:val="20"/>
              </w:rPr>
              <w:t>
иное обеспечение в виде движимого/недвижимого имущества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со стороны заемщика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9"/>
          <w:p>
            <w:pPr>
              <w:spacing w:after="20"/>
              <w:ind w:left="20"/>
              <w:jc w:val="both"/>
            </w:pPr>
            <w:r>
              <w:rPr>
                <w:rFonts w:ascii="Times New Roman"/>
                <w:b w:val="false"/>
                <w:i w:val="false"/>
                <w:color w:val="000000"/>
                <w:sz w:val="20"/>
              </w:rPr>
              <w:t>
Заключение между финансирующей организацией, заемщиком и банком-агентом соглашения о контроле за совершением расходных операций заемщика, содержащее следующие условия, но не ограничиваясь указанным: обязательство банка-агента поддерживать неснижаемый остаток на специальном текущем счете заемщика на сумму ежегодного погашения (основной долг, вознаграждение, комиссия) обязательств заемщика перед финансирующими организациями до истечения срока действия договора о предоставлении кредитного инструмента;</w:t>
            </w:r>
          </w:p>
          <w:bookmarkEnd w:id="59"/>
          <w:p>
            <w:pPr>
              <w:spacing w:after="20"/>
              <w:ind w:left="20"/>
              <w:jc w:val="both"/>
            </w:pPr>
            <w:r>
              <w:rPr>
                <w:rFonts w:ascii="Times New Roman"/>
                <w:b w:val="false"/>
                <w:i w:val="false"/>
                <w:color w:val="000000"/>
                <w:sz w:val="20"/>
              </w:rPr>
              <w:t>
</w:t>
            </w:r>
            <w:r>
              <w:rPr>
                <w:rFonts w:ascii="Times New Roman"/>
                <w:b w:val="false"/>
                <w:i w:val="false"/>
                <w:color w:val="000000"/>
                <w:sz w:val="20"/>
              </w:rPr>
              <w:t>заключение договоров гарантии с акционерами/участниками и конечными бенефициарами негосударственного заемщика;</w:t>
            </w:r>
          </w:p>
          <w:p>
            <w:pPr>
              <w:spacing w:after="20"/>
              <w:ind w:left="20"/>
              <w:jc w:val="both"/>
            </w:pPr>
            <w:r>
              <w:rPr>
                <w:rFonts w:ascii="Times New Roman"/>
                <w:b w:val="false"/>
                <w:i w:val="false"/>
                <w:color w:val="000000"/>
                <w:sz w:val="20"/>
              </w:rPr>
              <w:t>
</w:t>
            </w:r>
            <w:r>
              <w:rPr>
                <w:rFonts w:ascii="Times New Roman"/>
                <w:b w:val="false"/>
                <w:i w:val="false"/>
                <w:color w:val="000000"/>
                <w:sz w:val="20"/>
              </w:rPr>
              <w:t>заключение соглашения между финансирующей организацией, заемщиком, акционерами/участниками заемщика о финансировании финансирующей организацией строительства и модернизации (реконструкция, капитальный ремонт) инженерных сетей электро-, теплоснабжения и активов, задействованных при производстве тепловой энергии, остальные работы должны быть профинансированы акционерами/участниками заемщика (по негосударственным заемщикам);</w:t>
            </w:r>
          </w:p>
          <w:p>
            <w:pPr>
              <w:spacing w:after="20"/>
              <w:ind w:left="20"/>
              <w:jc w:val="both"/>
            </w:pPr>
            <w:r>
              <w:rPr>
                <w:rFonts w:ascii="Times New Roman"/>
                <w:b w:val="false"/>
                <w:i w:val="false"/>
                <w:color w:val="000000"/>
                <w:sz w:val="20"/>
              </w:rPr>
              <w:t>
</w:t>
            </w:r>
            <w:r>
              <w:rPr>
                <w:rFonts w:ascii="Times New Roman"/>
                <w:b w:val="false"/>
                <w:i w:val="false"/>
                <w:color w:val="000000"/>
                <w:sz w:val="20"/>
              </w:rPr>
              <w:t>предоставление финансирующей организации на ежегодной основе информации о годовом проценте исполнения со стороны потребителей обязательств по оплате услуг ЖКХ;</w:t>
            </w:r>
          </w:p>
          <w:p>
            <w:pPr>
              <w:spacing w:after="20"/>
              <w:ind w:left="20"/>
              <w:jc w:val="both"/>
            </w:pPr>
            <w:r>
              <w:rPr>
                <w:rFonts w:ascii="Times New Roman"/>
                <w:b w:val="false"/>
                <w:i w:val="false"/>
                <w:color w:val="000000"/>
                <w:sz w:val="20"/>
              </w:rPr>
              <w:t>
в заключаемых договорах с подрядными организациями по проведению работ по строительству и модернизации (реконструкция, капитальный ремонт) инженерных сетей электро-, теплоснабжения и активов, задействованных при производстве тепловой энергии, предусмотрение обязательств подрядных организаций о необходимости предоставления в пользу заемщиков банковской гарантии исполнения обязательств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со стороны МНЭ</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финансирующей организации решения (с установленной периодичностью) по каждому заемщику об утверждении размера тарифов на услуги ЖКХ, покрывающего обязательства заемщика (в течение всего срока займа заемщика)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Мониторинг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Мониторинг проектов осуществляется в соответствии с внутренними актами финансирующей организации </w:t>
            </w:r>
          </w:p>
        </w:tc>
      </w:tr>
    </w:tbl>
    <w:p>
      <w:pPr>
        <w:spacing w:after="0"/>
        <w:ind w:left="0"/>
        <w:jc w:val="left"/>
      </w:pPr>
      <w:r>
        <w:rPr>
          <w:rFonts w:ascii="Times New Roman"/>
          <w:b/>
          <w:i w:val="false"/>
          <w:color w:val="000000"/>
        </w:rPr>
        <w:t xml:space="preserve"> Подраздел 4. Финансирование субъектов естественных монополий за счет выпуска местными исполнительными органами государственных ценных бумаг (облигации) осуществляется на следующих основных условиях:</w:t>
      </w:r>
    </w:p>
    <w:p>
      <w:pPr>
        <w:spacing w:after="0"/>
        <w:ind w:left="0"/>
        <w:jc w:val="both"/>
      </w:pPr>
      <w:r>
        <w:rPr>
          <w:rFonts w:ascii="Times New Roman"/>
          <w:b w:val="false"/>
          <w:i w:val="false"/>
          <w:color w:val="ff0000"/>
          <w:sz w:val="28"/>
        </w:rPr>
        <w:t xml:space="preserve">
      Сноска. Раздел 5 дополнен подразделом 4 в соответствии с постановлением Правительства РК от 24.10.2024 </w:t>
      </w:r>
      <w:r>
        <w:rPr>
          <w:rFonts w:ascii="Times New Roman"/>
          <w:b w:val="false"/>
          <w:i w:val="false"/>
          <w:color w:val="ff0000"/>
          <w:sz w:val="28"/>
        </w:rPr>
        <w:t>№ 882</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Местные исполнительные органы областей, городов республиканского значения, столицы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Холдинг, в том числе компании, входящие в группу холдинга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облигационной программы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18 лет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обращения облигаций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13 лет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выпуска облигаций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 (до 2029 года включительно)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Ставка вознаграждения по купону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9,19 (девять целых, девятнадцать сотых) % годовых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основного долга в рамках выпущенных облигаций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полугодовыми платежами, начиная с третьего года с даты начала обращения облигаций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Периодичность оплаты вознаграждения по купону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полугодовые платежи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Заемщик (-и)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Юридические лица, показатель износа инженерных сетей электро-, теплоснабжения и активов, задействованных при производстве тепловой энергии которых составляет более 55%:</w:t>
            </w:r>
          </w:p>
          <w:p>
            <w:pPr>
              <w:spacing w:after="20"/>
              <w:ind w:left="20"/>
              <w:jc w:val="both"/>
            </w:pPr>
            <w:r>
              <w:rPr>
                <w:rFonts w:ascii="Times New Roman"/>
                <w:b w:val="false"/>
                <w:i w:val="false"/>
                <w:color w:val="000000"/>
                <w:sz w:val="20"/>
              </w:rPr>
              <w:t>
государственные заемщики;</w:t>
            </w:r>
          </w:p>
          <w:p>
            <w:pPr>
              <w:spacing w:after="20"/>
              <w:ind w:left="20"/>
              <w:jc w:val="both"/>
            </w:pPr>
            <w:r>
              <w:rPr>
                <w:rFonts w:ascii="Times New Roman"/>
                <w:b w:val="false"/>
                <w:i w:val="false"/>
                <w:color w:val="000000"/>
                <w:sz w:val="20"/>
              </w:rPr>
              <w:t>
негосударственные заемщики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Кредитные договоры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заключаемые между эмитентом и (или) иными лицами, определенными в соответствии с бюджетным законодательством, и заемщиком в целях реализации инвестиционного проекта заемщика в рамках Программы.</w:t>
            </w:r>
          </w:p>
          <w:p>
            <w:pPr>
              <w:spacing w:after="20"/>
              <w:ind w:left="20"/>
              <w:jc w:val="both"/>
            </w:pPr>
            <w:r>
              <w:rPr>
                <w:rFonts w:ascii="Times New Roman"/>
                <w:b w:val="false"/>
                <w:i w:val="false"/>
                <w:color w:val="000000"/>
                <w:sz w:val="20"/>
              </w:rPr>
              <w:t>
Основные и иные условия кредитования заемщиков будут определяться в кредитных договорах</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Валюта займа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r>
    </w:tbl>
    <w:p>
      <w:pPr>
        <w:spacing w:after="0"/>
        <w:ind w:left="0"/>
        <w:jc w:val="left"/>
      </w:pPr>
      <w:r>
        <w:br/>
      </w:r>
      <w:r>
        <w:rPr>
          <w:rFonts w:ascii="Times New Roman"/>
          <w:b w:val="false"/>
          <w:i w:val="false"/>
          <w:color w:val="000000"/>
          <w:sz w:val="28"/>
        </w:rPr>
        <w:t>
</w:t>
      </w:r>
    </w:p>
    <w:bookmarkStart w:name="z80" w:id="60"/>
    <w:p>
      <w:pPr>
        <w:spacing w:after="0"/>
        <w:ind w:left="0"/>
        <w:jc w:val="left"/>
      </w:pPr>
      <w:r>
        <w:rPr>
          <w:rFonts w:ascii="Times New Roman"/>
          <w:b/>
          <w:i w:val="false"/>
          <w:color w:val="000000"/>
        </w:rPr>
        <w:t xml:space="preserve"> Раздел 6. Необходимые ресурсы</w:t>
      </w:r>
    </w:p>
    <w:bookmarkEnd w:id="60"/>
    <w:bookmarkStart w:name="z81" w:id="61"/>
    <w:p>
      <w:pPr>
        <w:spacing w:after="0"/>
        <w:ind w:left="0"/>
        <w:jc w:val="both"/>
      </w:pPr>
      <w:r>
        <w:rPr>
          <w:rFonts w:ascii="Times New Roman"/>
          <w:b w:val="false"/>
          <w:i w:val="false"/>
          <w:color w:val="000000"/>
          <w:sz w:val="28"/>
        </w:rPr>
        <w:t>
      Финансирование Программы будет осуществляться за счет средств РБ и средств финансирующих организаций.</w:t>
      </w:r>
    </w:p>
    <w:bookmarkEnd w:id="61"/>
    <w:bookmarkStart w:name="z82" w:id="62"/>
    <w:p>
      <w:pPr>
        <w:spacing w:after="0"/>
        <w:ind w:left="0"/>
        <w:jc w:val="both"/>
      </w:pPr>
      <w:r>
        <w:rPr>
          <w:rFonts w:ascii="Times New Roman"/>
          <w:b w:val="false"/>
          <w:i w:val="false"/>
          <w:color w:val="000000"/>
          <w:sz w:val="28"/>
        </w:rPr>
        <w:t>
      Объемы финансирования Программы составляют:</w:t>
      </w:r>
    </w:p>
    <w:bookmarkEnd w:id="62"/>
    <w:bookmarkStart w:name="z83" w:id="63"/>
    <w:p>
      <w:pPr>
        <w:spacing w:after="0"/>
        <w:ind w:left="0"/>
        <w:jc w:val="both"/>
      </w:pPr>
      <w:r>
        <w:rPr>
          <w:rFonts w:ascii="Times New Roman"/>
          <w:b w:val="false"/>
          <w:i w:val="false"/>
          <w:color w:val="000000"/>
          <w:sz w:val="28"/>
        </w:rPr>
        <w:t>
      млрд тенге</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финансирующих организаций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bl>
    <w:bookmarkStart w:name="z84" w:id="64"/>
    <w:p>
      <w:pPr>
        <w:spacing w:after="0"/>
        <w:ind w:left="0"/>
        <w:jc w:val="both"/>
      </w:pPr>
      <w:r>
        <w:rPr>
          <w:rFonts w:ascii="Times New Roman"/>
          <w:b w:val="false"/>
          <w:i w:val="false"/>
          <w:color w:val="000000"/>
          <w:sz w:val="28"/>
        </w:rPr>
        <w:t>
      Примечание:</w:t>
      </w:r>
    </w:p>
    <w:bookmarkEnd w:id="64"/>
    <w:bookmarkStart w:name="z85" w:id="65"/>
    <w:p>
      <w:pPr>
        <w:spacing w:after="0"/>
        <w:ind w:left="0"/>
        <w:jc w:val="both"/>
      </w:pPr>
      <w:r>
        <w:rPr>
          <w:rFonts w:ascii="Times New Roman"/>
          <w:b w:val="false"/>
          <w:i w:val="false"/>
          <w:color w:val="000000"/>
          <w:sz w:val="28"/>
        </w:rPr>
        <w:t>
      Объем средств будет уточняться в соответствии с РБ на соответствующий финансовый год.</w:t>
      </w:r>
    </w:p>
    <w:bookmarkEnd w:id="65"/>
    <w:bookmarkStart w:name="z86" w:id="66"/>
    <w:p>
      <w:pPr>
        <w:spacing w:after="0"/>
        <w:ind w:left="0"/>
        <w:jc w:val="both"/>
      </w:pPr>
      <w:r>
        <w:rPr>
          <w:rFonts w:ascii="Times New Roman"/>
          <w:b w:val="false"/>
          <w:i w:val="false"/>
          <w:color w:val="000000"/>
          <w:sz w:val="28"/>
        </w:rPr>
        <w:t>
      ________________________</w:t>
      </w:r>
    </w:p>
    <w:bookmarkEnd w:id="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