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fedf" w14:textId="49cf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апреля 2022 года № 264 "Об утверждении Плана действий по реализации Концепции правовой политики Республики Казахстан до 2030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2024 года № 837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2022 года № 264 "Об утверждении Плана действий по реализации Концепции правовой политики Республики Казахстан до 2030 года"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действий по реализации Концепции правовой политики Республики Казахстан до 2030 года, утвержденном указанным постановлением: строки, порядковые номера 26, 27, 28, 29, 30, 31 и 32, изложить в следующей редакции: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правовой природы и классификации объектов гражданских прав и уточнение их правового режима, определение места в этой классификации таких объектов, как "право требования" и "право интеллектуальной собственности"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2027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законодательства с учетом многообразия гражданских прав, принадлежащих субъектам частного права, в том числе дополнение перечня прав, принадлежащих юридическим лицам и государству, другими вещными и обязательственными правами, а также неимущественными, исключительными правами, правом наследования и иными имущественными правами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2027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НПП "Атамекен" (по согласованию),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норм о      владении, приобретательной давности и негаторном иске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2027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ВС (по согласованию), НПП "Атамекен" (по согласованию),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института исковой давности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2027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ВС (по согласованию), НПП "Атамекен" (по согласованию),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законодательства о смарт- контрактах и электронной коммерции (e-commerce)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2027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сфер применения института возмещения нематериального (морального) вреда, условий его возмещения, а также его размера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2027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механизмов устранения необоснованного преобладания публично-правовых методов регулирования частных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2027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НПП "Атамекен" (по согласованию), РКА (по согласованию), заинтересованные государственные органы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35, 36, 37 и 38,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Гражданский кодекс изменений в части положения о решениях собраний и коллегиальных органов управления юридических лиц как самостоятельных оснований возникновения, изменения и прекращения гражданских прав и обязанностей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2027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НПП "Атамекен" (по согласованию),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норм об ответственности корпоративных должностных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2027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НПП "Атамекен" (по согласованию),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гражданского законодательства, регламентирующего реорганизацию юридических лиц и вопросы правопреемства, в том числе в части форм реорганизации коммерческих юридических лиц, а также регулирования условий и порядка осуществления комплексных      форм реорганизации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2027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НПП "Атамекен" (по согласованию),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корпоративного законодательства на основе рекомендаций и стандартов передовой практики корпоративного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2027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НПП "Атамекен" (по согласованию), РКА (по согласованию), заинтересованные государственные органы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