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cf7f" w14:textId="6a4c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949.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30,95 (тридцать целых девяносто пять сотых) процента от чистого дохода, отраженного в консолидированной годовой финансовой отчетности по итогам 2023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