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7dbb" w14:textId="6567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"Национальная компания "QazExpoCongress" на 2025 – 2034 годы</w:t>
      </w:r>
    </w:p>
    <w:p>
      <w:pPr>
        <w:spacing w:after="0"/>
        <w:ind w:left="0"/>
        <w:jc w:val="both"/>
      </w:pPr>
      <w:r>
        <w:rPr>
          <w:rFonts w:ascii="Times New Roman"/>
          <w:b w:val="false"/>
          <w:i w:val="false"/>
          <w:color w:val="000000"/>
          <w:sz w:val="28"/>
        </w:rPr>
        <w:t>Постановление Правительства Республики Казахстан от 27 ноября 2024 года № 1004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Вводится в действие с 01.01.2025.</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184 Закона Республики Казахстан "О государственном имуществе"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развития акционерного общества "Национальная компания "QazExpoCongress" на 2025 – 2034 годы.</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 1 января 2025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bookmarkStart w:name="z7" w:id="3"/>
    <w:p>
      <w:pPr>
        <w:spacing w:after="0"/>
        <w:ind w:left="0"/>
        <w:jc w:val="left"/>
      </w:pPr>
      <w:r>
        <w:rPr>
          <w:rFonts w:ascii="Times New Roman"/>
          <w:b/>
          <w:i w:val="false"/>
          <w:color w:val="000000"/>
        </w:rPr>
        <w:t xml:space="preserve"> План </w:t>
      </w:r>
      <w:r>
        <w:br/>
      </w:r>
      <w:r>
        <w:rPr>
          <w:rFonts w:ascii="Times New Roman"/>
          <w:b/>
          <w:i w:val="false"/>
          <w:color w:val="000000"/>
        </w:rPr>
        <w:t>развития акционерного общества</w:t>
      </w:r>
      <w:r>
        <w:br/>
      </w:r>
      <w:r>
        <w:rPr>
          <w:rFonts w:ascii="Times New Roman"/>
          <w:b/>
          <w:i w:val="false"/>
          <w:color w:val="000000"/>
        </w:rPr>
        <w:t>"Национальная компания "QazExpoCongress" на 2025 – 2034 годы</w:t>
      </w:r>
    </w:p>
    <w:bookmarkEnd w:id="3"/>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Введение</w:t>
            </w:r>
          </w:p>
        </w:tc>
      </w:tr>
      <w:tr>
        <w:trPr>
          <w:trHeight w:val="30" w:hRule="atLeast"/>
        </w:trPr>
        <w:tc>
          <w:tcPr>
            <w:tcW w:w="1230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1. </w:t>
            </w:r>
            <w:r>
              <w:rPr>
                <w:rFonts w:ascii="Times New Roman"/>
                <w:b w:val="false"/>
                <w:i w:val="false"/>
                <w:color w:val="000000"/>
                <w:sz w:val="20"/>
              </w:rPr>
              <w:t>Анализ</w:t>
            </w:r>
            <w:r>
              <w:rPr>
                <w:rFonts w:ascii="Times New Roman"/>
                <w:b w:val="false"/>
                <w:i w:val="false"/>
                <w:color w:val="000000"/>
                <w:sz w:val="20"/>
              </w:rPr>
              <w:t xml:space="preserve"> текущего состояния АО "Национальная компания "QazExpoCongress"</w:t>
            </w:r>
          </w:p>
          <w:bookmarkEnd w:id="4"/>
          <w:p>
            <w:pPr>
              <w:spacing w:after="20"/>
              <w:ind w:left="20"/>
              <w:jc w:val="both"/>
            </w:pPr>
            <w:r>
              <w:rPr>
                <w:rFonts w:ascii="Times New Roman"/>
                <w:b w:val="false"/>
                <w:i w:val="false"/>
                <w:color w:val="000000"/>
                <w:sz w:val="20"/>
              </w:rPr>
              <w:t>
1.1. </w:t>
            </w:r>
            <w:r>
              <w:rPr>
                <w:rFonts w:ascii="Times New Roman"/>
                <w:b w:val="false"/>
                <w:i w:val="false"/>
                <w:color w:val="000000"/>
                <w:sz w:val="20"/>
              </w:rPr>
              <w:t>Анализ</w:t>
            </w:r>
            <w:r>
              <w:rPr>
                <w:rFonts w:ascii="Times New Roman"/>
                <w:b w:val="false"/>
                <w:i w:val="false"/>
                <w:color w:val="000000"/>
                <w:sz w:val="20"/>
              </w:rPr>
              <w:t xml:space="preserve"> внешней среды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r>
              <w:rPr>
                <w:rFonts w:ascii="Times New Roman"/>
                <w:b w:val="false"/>
                <w:i w:val="false"/>
                <w:color w:val="000000"/>
                <w:sz w:val="20"/>
              </w:rPr>
              <w:t>Анализ</w:t>
            </w:r>
            <w:r>
              <w:rPr>
                <w:rFonts w:ascii="Times New Roman"/>
                <w:b w:val="false"/>
                <w:i w:val="false"/>
                <w:color w:val="000000"/>
                <w:sz w:val="20"/>
              </w:rPr>
              <w:t xml:space="preserve"> внутренней среды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r>
              <w:rPr>
                <w:rFonts w:ascii="Times New Roman"/>
                <w:b w:val="false"/>
                <w:i w:val="false"/>
                <w:color w:val="000000"/>
                <w:sz w:val="20"/>
              </w:rPr>
              <w:t>Миссия</w:t>
            </w:r>
            <w:r>
              <w:rPr>
                <w:rFonts w:ascii="Times New Roman"/>
                <w:b w:val="false"/>
                <w:i w:val="false"/>
                <w:color w:val="000000"/>
                <w:sz w:val="20"/>
              </w:rPr>
              <w:t xml:space="preserve"> и видение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r>
              <w:rPr>
                <w:rFonts w:ascii="Times New Roman"/>
                <w:b w:val="false"/>
                <w:i w:val="false"/>
                <w:color w:val="000000"/>
                <w:sz w:val="20"/>
              </w:rPr>
              <w:t>Стратегические направления деятельности</w:t>
            </w:r>
            <w:r>
              <w:rPr>
                <w:rFonts w:ascii="Times New Roman"/>
                <w:b w:val="false"/>
                <w:i w:val="false"/>
                <w:color w:val="000000"/>
                <w:sz w:val="20"/>
              </w:rPr>
              <w:t>, цели, ключевые показатели деятельности и ожидаемые результаты по ним</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w:t>
            </w:r>
            <w:r>
              <w:rPr>
                <w:rFonts w:ascii="Times New Roman"/>
                <w:b w:val="false"/>
                <w:i w:val="false"/>
                <w:color w:val="000000"/>
                <w:sz w:val="20"/>
              </w:rPr>
              <w:t xml:space="preserve"> к Плану развития акционерного общества "Национальная компания "QazExpoCongress" на 2025 – 2034 годы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1-1</w:t>
            </w:r>
            <w:r>
              <w:rPr>
                <w:rFonts w:ascii="Times New Roman"/>
                <w:b w:val="false"/>
                <w:i w:val="false"/>
                <w:color w:val="000000"/>
                <w:sz w:val="20"/>
              </w:rPr>
              <w:t xml:space="preserve"> к Плану развития акционерного общества "Национальная компания "QazExpoCongress" на 2025 – 2034 годы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2</w:t>
            </w:r>
            <w:r>
              <w:rPr>
                <w:rFonts w:ascii="Times New Roman"/>
                <w:b w:val="false"/>
                <w:i w:val="false"/>
                <w:color w:val="000000"/>
                <w:sz w:val="20"/>
              </w:rPr>
              <w:t xml:space="preserve"> к Плану развития акционерного общества "Национальная компания "QazExpoCongress" на 2025 – 2034 годы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3</w:t>
            </w:r>
            <w:r>
              <w:rPr>
                <w:rFonts w:ascii="Times New Roman"/>
                <w:b w:val="false"/>
                <w:i w:val="false"/>
                <w:color w:val="000000"/>
                <w:sz w:val="20"/>
              </w:rPr>
              <w:t xml:space="preserve"> к Плану развития акционерного общества "Национальная компания "QazExpoCongress" на 2025 – 2034 годы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4</w:t>
            </w:r>
            <w:r>
              <w:rPr>
                <w:rFonts w:ascii="Times New Roman"/>
                <w:b w:val="false"/>
                <w:i w:val="false"/>
                <w:color w:val="000000"/>
                <w:sz w:val="20"/>
              </w:rPr>
              <w:t xml:space="preserve"> к Плану развития акционерного общества "Национальная компания "QazExpoCongress" на 2025 – 2034 годы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5</w:t>
            </w:r>
            <w:r>
              <w:rPr>
                <w:rFonts w:ascii="Times New Roman"/>
                <w:b w:val="false"/>
                <w:i w:val="false"/>
                <w:color w:val="000000"/>
                <w:sz w:val="20"/>
              </w:rPr>
              <w:t xml:space="preserve"> к Плану развития акционерного общества "Национальная компания "QazExpoCongress" на 2025 – 2034 годы</w:t>
            </w:r>
          </w:p>
        </w:tc>
      </w:tr>
    </w:tbl>
    <w:bookmarkStart w:name="z9" w:id="5"/>
    <w:p>
      <w:pPr>
        <w:spacing w:after="0"/>
        <w:ind w:left="0"/>
        <w:jc w:val="both"/>
      </w:pPr>
      <w:r>
        <w:rPr>
          <w:rFonts w:ascii="Times New Roman"/>
          <w:b w:val="false"/>
          <w:i w:val="false"/>
          <w:color w:val="000000"/>
          <w:sz w:val="28"/>
        </w:rPr>
        <w:t>
      Введение</w:t>
      </w:r>
    </w:p>
    <w:bookmarkEnd w:id="5"/>
    <w:bookmarkStart w:name="z10" w:id="6"/>
    <w:p>
      <w:pPr>
        <w:spacing w:after="0"/>
        <w:ind w:left="0"/>
        <w:jc w:val="both"/>
      </w:pPr>
      <w:r>
        <w:rPr>
          <w:rFonts w:ascii="Times New Roman"/>
          <w:b w:val="false"/>
          <w:i w:val="false"/>
          <w:color w:val="000000"/>
          <w:sz w:val="28"/>
        </w:rPr>
        <w:t xml:space="preserve">
      Акционерное общество "Национальная компания "Астана ЭКСПО-2017" создано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января 2013 года № 11 "О создании акционерного общества "Национальная компания "Астана ЭКСПО-2017" в целях организации и проведения в городе Астане Международной специализированной выставки EXPO-2017 (далее – EXPO-2017), а также послевыставочного использования территории EXPO-2017 и участия в международных выставках.</w:t>
      </w:r>
    </w:p>
    <w:bookmarkEnd w:id="6"/>
    <w:bookmarkStart w:name="z11" w:id="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декабря 2019 года № 955 "О переименовании акционерного общества "Национальная компания "Астана ЭКСПО-2017" в акционерное общество "Национальная компания "QazExpoCongress" и внесении изменений и дополнений в некоторые решения Правительства Республики Казахстан" 18 февраля 2020 года АО "Национальная компания "Астана ЭКСПО-2017" далее перерегистрировано в АО "Национальная компания "QazExpoCongress" (далее – Общество), а право владения и пользования государственным пакетом акций Общества в размере 100 % передано Министерству торговли и интеграции Республики Казахстан. Ранее управление компанией осуществляло Министерство национальной экономики Республики Казахстан. </w:t>
      </w:r>
    </w:p>
    <w:bookmarkEnd w:id="7"/>
    <w:bookmarkStart w:name="z12" w:id="8"/>
    <w:p>
      <w:pPr>
        <w:spacing w:after="0"/>
        <w:ind w:left="0"/>
        <w:jc w:val="both"/>
      </w:pPr>
      <w:r>
        <w:rPr>
          <w:rFonts w:ascii="Times New Roman"/>
          <w:b w:val="false"/>
          <w:i w:val="false"/>
          <w:color w:val="000000"/>
          <w:sz w:val="28"/>
        </w:rPr>
        <w:t xml:space="preserve">
      Предыдущий план развития Общества на 2015 – 2024 годы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2015 года № 203 "Об утверждении Плана развития акционерного общества "Национальная компания "QazExpoCongress" на 2015 – 2024 годы". Актуализация Плана развития Общества на 2015 – 2024 годы проведена в 2019 году. Необходимость внесения изменений и дополнений в план развития Общества была обусловлена следующими факторами:</w:t>
      </w:r>
    </w:p>
    <w:bookmarkEnd w:id="8"/>
    <w:bookmarkStart w:name="z13" w:id="9"/>
    <w:p>
      <w:pPr>
        <w:spacing w:after="0"/>
        <w:ind w:left="0"/>
        <w:jc w:val="both"/>
      </w:pPr>
      <w:r>
        <w:rPr>
          <w:rFonts w:ascii="Times New Roman"/>
          <w:b w:val="false"/>
          <w:i w:val="false"/>
          <w:color w:val="000000"/>
          <w:sz w:val="28"/>
        </w:rPr>
        <w:t>
      1) одобрение Главой государства 4 апреля 2018 года обновленной Концепции послевыставочного использования объектов EXPO-2017;</w:t>
      </w:r>
    </w:p>
    <w:bookmarkEnd w:id="9"/>
    <w:bookmarkStart w:name="z14" w:id="10"/>
    <w:p>
      <w:pPr>
        <w:spacing w:after="0"/>
        <w:ind w:left="0"/>
        <w:jc w:val="both"/>
      </w:pPr>
      <w:r>
        <w:rPr>
          <w:rFonts w:ascii="Times New Roman"/>
          <w:b w:val="false"/>
          <w:i w:val="false"/>
          <w:color w:val="000000"/>
          <w:sz w:val="28"/>
        </w:rPr>
        <w:t>
      2) изменение основных направлений деятельности Общества, в частности, в связи с завершением EXPO-2017 в городе Астане, запуском МФЦА и Astana Hub;</w:t>
      </w:r>
    </w:p>
    <w:bookmarkEnd w:id="10"/>
    <w:bookmarkStart w:name="z15" w:id="11"/>
    <w:p>
      <w:pPr>
        <w:spacing w:after="0"/>
        <w:ind w:left="0"/>
        <w:jc w:val="both"/>
      </w:pPr>
      <w:r>
        <w:rPr>
          <w:rFonts w:ascii="Times New Roman"/>
          <w:b w:val="false"/>
          <w:i w:val="false"/>
          <w:color w:val="000000"/>
          <w:sz w:val="28"/>
        </w:rPr>
        <w:t>
      3) актуализация параметров внешней среды, включая показатели макроэкономики и развития г. Астаны;</w:t>
      </w:r>
    </w:p>
    <w:bookmarkEnd w:id="11"/>
    <w:bookmarkStart w:name="z16" w:id="12"/>
    <w:p>
      <w:pPr>
        <w:spacing w:after="0"/>
        <w:ind w:left="0"/>
        <w:jc w:val="both"/>
      </w:pPr>
      <w:r>
        <w:rPr>
          <w:rFonts w:ascii="Times New Roman"/>
          <w:b w:val="false"/>
          <w:i w:val="false"/>
          <w:color w:val="000000"/>
          <w:sz w:val="28"/>
        </w:rPr>
        <w:t>
      4) изменение внутренней среды, включая развитие компетенций персонала Общества в результате успешного проведения выставки EXPO-2017 и других мероприятий;</w:t>
      </w:r>
    </w:p>
    <w:bookmarkEnd w:id="12"/>
    <w:bookmarkStart w:name="z17" w:id="13"/>
    <w:p>
      <w:pPr>
        <w:spacing w:after="0"/>
        <w:ind w:left="0"/>
        <w:jc w:val="both"/>
      </w:pPr>
      <w:r>
        <w:rPr>
          <w:rFonts w:ascii="Times New Roman"/>
          <w:b w:val="false"/>
          <w:i w:val="false"/>
          <w:color w:val="000000"/>
          <w:sz w:val="28"/>
        </w:rPr>
        <w:t>
      5) изменение организационной структуры и функционала Общества;</w:t>
      </w:r>
    </w:p>
    <w:bookmarkEnd w:id="13"/>
    <w:bookmarkStart w:name="z18" w:id="14"/>
    <w:p>
      <w:pPr>
        <w:spacing w:after="0"/>
        <w:ind w:left="0"/>
        <w:jc w:val="both"/>
      </w:pPr>
      <w:r>
        <w:rPr>
          <w:rFonts w:ascii="Times New Roman"/>
          <w:b w:val="false"/>
          <w:i w:val="false"/>
          <w:color w:val="000000"/>
          <w:sz w:val="28"/>
        </w:rPr>
        <w:t>
      6) изменение назначений объектов EXPO-2017.</w:t>
      </w:r>
    </w:p>
    <w:bookmarkEnd w:id="14"/>
    <w:bookmarkStart w:name="z19" w:id="15"/>
    <w:p>
      <w:pPr>
        <w:spacing w:after="0"/>
        <w:ind w:left="0"/>
        <w:jc w:val="both"/>
      </w:pPr>
      <w:r>
        <w:rPr>
          <w:rFonts w:ascii="Times New Roman"/>
          <w:b w:val="false"/>
          <w:i w:val="false"/>
          <w:color w:val="000000"/>
          <w:sz w:val="28"/>
        </w:rPr>
        <w:t xml:space="preserve">
      Настоящий План развития Общества на 2025 – 2034 годы (далее – План развития) разработан в соответствии с долгосрочным видением развития страны, изложенным в </w:t>
      </w:r>
      <w:r>
        <w:rPr>
          <w:rFonts w:ascii="Times New Roman"/>
          <w:b w:val="false"/>
          <w:i w:val="false"/>
          <w:color w:val="000000"/>
          <w:sz w:val="28"/>
        </w:rPr>
        <w:t>Послании</w:t>
      </w:r>
      <w:r>
        <w:rPr>
          <w:rFonts w:ascii="Times New Roman"/>
          <w:b w:val="false"/>
          <w:i w:val="false"/>
          <w:color w:val="000000"/>
          <w:sz w:val="28"/>
        </w:rPr>
        <w:t xml:space="preserve"> Президента Республики Казахстан народу Казахстана "Стратегия "Казахстан-2050": новый политический курс состоявшегося государства", Национальным планом развития Казахстана до 2029 года, утвержденным Указом Президента Республики Казахстан от 30 июля 2024 года № 611, Планом развития Министерства торговли и интеграции Республики Казахстан, утвержденным приказом Заместителя Премьер-Министра – Министра торговли и интеграции Республики Казахстан от 30 декабря 2022 года № 511-НҚ, а также в соответствии с основными направлениями государственной политики в социально-экономической и иных сферах.</w:t>
      </w:r>
    </w:p>
    <w:bookmarkEnd w:id="15"/>
    <w:bookmarkStart w:name="z20" w:id="16"/>
    <w:p>
      <w:pPr>
        <w:spacing w:after="0"/>
        <w:ind w:left="0"/>
        <w:jc w:val="both"/>
      </w:pPr>
      <w:r>
        <w:rPr>
          <w:rFonts w:ascii="Times New Roman"/>
          <w:b w:val="false"/>
          <w:i w:val="false"/>
          <w:color w:val="000000"/>
          <w:sz w:val="28"/>
        </w:rPr>
        <w:t>
      В основе настоящего документа заложены ключевые стратегические направления деятельности Общества для реализации своей роли как компании, содействующей росту национальной экономики Казахстана, путем эффективного управления направлениями деятельности Общества, в том числе развития инновационной инфраструктуры и увеличения долгосрочной стоимости компании с учетом глобального видения, долгосрочных направлений и приоритетов устойчивого развития страны.</w:t>
      </w:r>
    </w:p>
    <w:bookmarkEnd w:id="16"/>
    <w:bookmarkStart w:name="z21" w:id="17"/>
    <w:p>
      <w:pPr>
        <w:spacing w:after="0"/>
        <w:ind w:left="0"/>
        <w:jc w:val="both"/>
      </w:pPr>
      <w:r>
        <w:rPr>
          <w:rFonts w:ascii="Times New Roman"/>
          <w:b w:val="false"/>
          <w:i w:val="false"/>
          <w:color w:val="000000"/>
          <w:sz w:val="28"/>
        </w:rPr>
        <w:t>
      План развития определяет миссию, видение, стратегические направления, а также цели, задачи и прогнозируемые значения ключевых показателей деятельности (далее – КПД) во взаимосвязи со стратегическими целями страны, определяемыми в вышестоящих документах СГП на период с 2025 по 2034 годы. При этом многие инициативы из предшествующего Плана развития, сохранившие свою актуальность, отражены в обновленной версии.</w:t>
      </w:r>
    </w:p>
    <w:bookmarkEnd w:id="17"/>
    <w:p>
      <w:pPr>
        <w:spacing w:after="0"/>
        <w:ind w:left="0"/>
        <w:jc w:val="both"/>
      </w:pPr>
      <w:r>
        <w:rPr>
          <w:rFonts w:ascii="Times New Roman"/>
          <w:b/>
          <w:i w:val="false"/>
          <w:color w:val="000000"/>
          <w:sz w:val="28"/>
        </w:rPr>
        <w:t>1. Анализ текущего состояния АО "НК "QazExpoCongress"</w:t>
      </w:r>
    </w:p>
    <w:p>
      <w:pPr>
        <w:spacing w:after="0"/>
        <w:ind w:left="0"/>
        <w:jc w:val="both"/>
      </w:pPr>
      <w:r>
        <w:rPr>
          <w:rFonts w:ascii="Times New Roman"/>
          <w:b/>
          <w:i w:val="false"/>
          <w:color w:val="000000"/>
          <w:sz w:val="28"/>
        </w:rPr>
        <w:t>1.1. Анализ текущего состояния внешней среды</w:t>
      </w:r>
    </w:p>
    <w:bookmarkStart w:name="z24" w:id="18"/>
    <w:p>
      <w:pPr>
        <w:spacing w:after="0"/>
        <w:ind w:left="0"/>
        <w:jc w:val="both"/>
      </w:pPr>
      <w:r>
        <w:rPr>
          <w:rFonts w:ascii="Times New Roman"/>
          <w:b w:val="false"/>
          <w:i w:val="false"/>
          <w:color w:val="000000"/>
          <w:sz w:val="28"/>
        </w:rPr>
        <w:t>
      В рамках анализа текущего состояния внешней среды были рассмотрены как мировая экономика, так и национальная экономика Республики Казахстан с релевантными для Общества отраслями, а также глобальные тренды, по каждому из которых определены потенциальные угрозы и возможные точки роста на глобальном и национальном уровнях с учетом последствий пандемии COVID-19 и текущей экономической, геополитической ситуации.</w:t>
      </w:r>
    </w:p>
    <w:bookmarkEnd w:id="18"/>
    <w:bookmarkStart w:name="z25" w:id="19"/>
    <w:p>
      <w:pPr>
        <w:spacing w:after="0"/>
        <w:ind w:left="0"/>
        <w:jc w:val="both"/>
      </w:pPr>
      <w:r>
        <w:rPr>
          <w:rFonts w:ascii="Times New Roman"/>
          <w:b w:val="false"/>
          <w:i w:val="false"/>
          <w:color w:val="000000"/>
          <w:sz w:val="28"/>
        </w:rPr>
        <w:t xml:space="preserve">
      </w:t>
      </w:r>
      <w:r>
        <w:rPr>
          <w:rFonts w:ascii="Times New Roman"/>
          <w:b/>
          <w:i w:val="false"/>
          <w:color w:val="000000"/>
          <w:sz w:val="28"/>
        </w:rPr>
        <w:t>Мировая экономика</w:t>
      </w:r>
    </w:p>
    <w:bookmarkEnd w:id="19"/>
    <w:bookmarkStart w:name="z26" w:id="20"/>
    <w:p>
      <w:pPr>
        <w:spacing w:after="0"/>
        <w:ind w:left="0"/>
        <w:jc w:val="both"/>
      </w:pPr>
      <w:r>
        <w:rPr>
          <w:rFonts w:ascii="Times New Roman"/>
          <w:b w:val="false"/>
          <w:i w:val="false"/>
          <w:color w:val="000000"/>
          <w:sz w:val="28"/>
        </w:rPr>
        <w:t>
      За период реализации предыдущего плана развития мировая экономика столкнулась с рядом вызовов, ключевой из которых стала пандемия COVID-2019, приведшая к снижению ВВП мировой экономики до 84,96 трлн тенге.</w:t>
      </w:r>
    </w:p>
    <w:bookmarkEnd w:id="20"/>
    <w:bookmarkStart w:name="z27" w:id="21"/>
    <w:p>
      <w:pPr>
        <w:spacing w:after="0"/>
        <w:ind w:left="0"/>
        <w:jc w:val="both"/>
      </w:pPr>
      <w:r>
        <w:rPr>
          <w:rFonts w:ascii="Times New Roman"/>
          <w:b w:val="false"/>
          <w:i w:val="false"/>
          <w:color w:val="000000"/>
          <w:sz w:val="28"/>
        </w:rPr>
        <w:t>
      Несмотря на снижение ВВП, в период с 2020 по 2023 годы экономика активно восстанавливалась и уже в 2023 году превысила 104 трлн долл. США.</w:t>
      </w:r>
    </w:p>
    <w:bookmarkEnd w:id="21"/>
    <w:bookmarkStart w:name="z28" w:id="22"/>
    <w:p>
      <w:pPr>
        <w:spacing w:after="0"/>
        <w:ind w:left="0"/>
        <w:jc w:val="both"/>
      </w:pPr>
      <w:r>
        <w:rPr>
          <w:rFonts w:ascii="Times New Roman"/>
          <w:b w:val="false"/>
          <w:i w:val="false"/>
          <w:color w:val="000000"/>
          <w:sz w:val="28"/>
        </w:rPr>
        <w:t>
      График 1. Мировой ВВП, трлн долл. США</w:t>
      </w:r>
      <w:r>
        <w:rPr>
          <w:rFonts w:ascii="Times New Roman"/>
          <w:b w:val="false"/>
          <w:i w:val="false"/>
          <w:color w:val="000000"/>
          <w:vertAlign w:val="superscript"/>
        </w:rPr>
        <w:t>1</w:t>
      </w:r>
      <w:r>
        <w:rPr>
          <w:rFonts w:ascii="Times New Roman"/>
          <w:b w:val="false"/>
          <w:i w:val="false"/>
          <w:color w:val="000000"/>
          <w:sz w:val="28"/>
        </w:rPr>
        <w:t xml:space="preserve"> </w:t>
      </w:r>
    </w:p>
    <w:bookmarkEnd w:id="22"/>
    <w:bookmarkStart w:name="z29" w:id="23"/>
    <w:p>
      <w:pPr>
        <w:spacing w:after="0"/>
        <w:ind w:left="0"/>
        <w:jc w:val="both"/>
      </w:pPr>
      <w:r>
        <w:rPr>
          <w:rFonts w:ascii="Times New Roman"/>
          <w:b w:val="false"/>
          <w:i w:val="false"/>
          <w:color w:val="000000"/>
          <w:sz w:val="28"/>
        </w:rPr>
        <w:t xml:space="preserve">
      </w:t>
      </w:r>
    </w:p>
    <w:bookmarkEnd w:id="2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xml:space="preserve">
      </w:t>
      </w:r>
      <w:r>
        <w:rPr>
          <w:rFonts w:ascii="Times New Roman"/>
          <w:b/>
          <w:i w:val="false"/>
          <w:color w:val="000000"/>
          <w:sz w:val="28"/>
        </w:rPr>
        <w:t>Национальная экономика</w:t>
      </w:r>
    </w:p>
    <w:bookmarkEnd w:id="24"/>
    <w:bookmarkStart w:name="z31" w:id="25"/>
    <w:p>
      <w:pPr>
        <w:spacing w:after="0"/>
        <w:ind w:left="0"/>
        <w:jc w:val="both"/>
      </w:pPr>
      <w:r>
        <w:rPr>
          <w:rFonts w:ascii="Times New Roman"/>
          <w:b w:val="false"/>
          <w:i w:val="false"/>
          <w:color w:val="000000"/>
          <w:sz w:val="28"/>
        </w:rPr>
        <w:t>
      Прогнозы роста экономики Казахстана значительно коррелируют с мировыми оценками в связи с общим состоянием мировой и региональной геополитической ситуации, а также сохранившейся зависимостью страны от экспорта природных ресурсов.</w:t>
      </w:r>
    </w:p>
    <w:bookmarkEnd w:id="25"/>
    <w:bookmarkStart w:name="z32" w:id="26"/>
    <w:p>
      <w:pPr>
        <w:spacing w:after="0"/>
        <w:ind w:left="0"/>
        <w:jc w:val="both"/>
      </w:pPr>
      <w:r>
        <w:rPr>
          <w:rFonts w:ascii="Times New Roman"/>
          <w:b w:val="false"/>
          <w:i w:val="false"/>
          <w:color w:val="000000"/>
          <w:sz w:val="28"/>
        </w:rPr>
        <w:t>
      ВВП РК показал внушительный рост после пандемии COVID-19. В период с 2021 по 2023 годы экономика выросла на 35,9 %.</w:t>
      </w:r>
    </w:p>
    <w:bookmarkEnd w:id="26"/>
    <w:bookmarkStart w:name="z33" w:id="27"/>
    <w:p>
      <w:pPr>
        <w:spacing w:after="0"/>
        <w:ind w:left="0"/>
        <w:jc w:val="both"/>
      </w:pPr>
      <w:r>
        <w:rPr>
          <w:rFonts w:ascii="Times New Roman"/>
          <w:b w:val="false"/>
          <w:i w:val="false"/>
          <w:color w:val="000000"/>
          <w:sz w:val="28"/>
        </w:rPr>
        <w:t>
      График 2. Динамика ВВП РК, млрд долл. США</w:t>
      </w:r>
      <w:r>
        <w:rPr>
          <w:rFonts w:ascii="Times New Roman"/>
          <w:b w:val="false"/>
          <w:i w:val="false"/>
          <w:color w:val="000000"/>
          <w:vertAlign w:val="superscript"/>
        </w:rPr>
        <w:t>2</w:t>
      </w:r>
      <w:r>
        <w:rPr>
          <w:rFonts w:ascii="Times New Roman"/>
          <w:b w:val="false"/>
          <w:i w:val="false"/>
          <w:color w:val="000000"/>
          <w:sz w:val="28"/>
        </w:rPr>
        <w:t xml:space="preserve"> </w:t>
      </w:r>
    </w:p>
    <w:bookmarkEnd w:id="27"/>
    <w:bookmarkStart w:name="z34" w:id="28"/>
    <w:p>
      <w:pPr>
        <w:spacing w:after="0"/>
        <w:ind w:left="0"/>
        <w:jc w:val="both"/>
      </w:pPr>
      <w:r>
        <w:rPr>
          <w:rFonts w:ascii="Times New Roman"/>
          <w:b w:val="false"/>
          <w:i w:val="false"/>
          <w:color w:val="000000"/>
          <w:sz w:val="28"/>
        </w:rPr>
        <w:t xml:space="preserve">
      </w:t>
      </w:r>
    </w:p>
    <w:bookmarkEnd w:id="28"/>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Рост ВВП в основном обеспечен за счет производства товаров и услуг. Доля последнего в структуре ВВП страны составила в 2023 году 56 %</w:t>
      </w:r>
      <w:r>
        <w:rPr>
          <w:rFonts w:ascii="Times New Roman"/>
          <w:b w:val="false"/>
          <w:i w:val="false"/>
          <w:color w:val="000000"/>
          <w:vertAlign w:val="superscript"/>
        </w:rPr>
        <w:t>3</w:t>
      </w:r>
      <w:r>
        <w:rPr>
          <w:rFonts w:ascii="Times New Roman"/>
          <w:b w:val="false"/>
          <w:i w:val="false"/>
          <w:color w:val="000000"/>
          <w:sz w:val="28"/>
        </w:rPr>
        <w:t>, что дополнительно стимулирует инновации и использование новых технологий для улучшения процессов и качества услуг.</w:t>
      </w:r>
    </w:p>
    <w:bookmarkStart w:name="z36" w:id="29"/>
    <w:p>
      <w:pPr>
        <w:spacing w:after="0"/>
        <w:ind w:left="0"/>
        <w:jc w:val="both"/>
      </w:pPr>
      <w:r>
        <w:rPr>
          <w:rFonts w:ascii="Times New Roman"/>
          <w:b w:val="false"/>
          <w:i w:val="false"/>
          <w:color w:val="000000"/>
          <w:sz w:val="28"/>
        </w:rPr>
        <w:t xml:space="preserve">
      </w:t>
      </w:r>
      <w:r>
        <w:rPr>
          <w:rFonts w:ascii="Times New Roman"/>
          <w:b/>
          <w:i w:val="false"/>
          <w:color w:val="000000"/>
          <w:sz w:val="28"/>
        </w:rPr>
        <w:t>Рынок аренды коммерческой недвижимости</w:t>
      </w:r>
    </w:p>
    <w:bookmarkEnd w:id="29"/>
    <w:bookmarkStart w:name="z37" w:id="30"/>
    <w:p>
      <w:pPr>
        <w:spacing w:after="0"/>
        <w:ind w:left="0"/>
        <w:jc w:val="both"/>
      </w:pPr>
      <w:r>
        <w:rPr>
          <w:rFonts w:ascii="Times New Roman"/>
          <w:b w:val="false"/>
          <w:i w:val="false"/>
          <w:color w:val="000000"/>
          <w:sz w:val="28"/>
        </w:rPr>
        <w:t xml:space="preserve">
      После пандемии COVID-19 и последовавшего кризиса рынок аренды коммерческой недвижимости в Казахстане находится на этапе активного восстановления. </w:t>
      </w:r>
    </w:p>
    <w:bookmarkEnd w:id="30"/>
    <w:bookmarkStart w:name="z38" w:id="31"/>
    <w:p>
      <w:pPr>
        <w:spacing w:after="0"/>
        <w:ind w:left="0"/>
        <w:jc w:val="both"/>
      </w:pPr>
      <w:r>
        <w:rPr>
          <w:rFonts w:ascii="Times New Roman"/>
          <w:b w:val="false"/>
          <w:i w:val="false"/>
          <w:color w:val="000000"/>
          <w:sz w:val="28"/>
        </w:rPr>
        <w:t xml:space="preserve">
      График 3. Объем услуг по аренде офисной недвижимости, млрд тенге </w:t>
      </w:r>
      <w:r>
        <w:rPr>
          <w:rFonts w:ascii="Times New Roman"/>
          <w:b w:val="false"/>
          <w:i w:val="false"/>
          <w:color w:val="000000"/>
          <w:vertAlign w:val="superscript"/>
        </w:rPr>
        <w:t>4</w:t>
      </w:r>
    </w:p>
    <w:bookmarkEnd w:id="31"/>
    <w:bookmarkStart w:name="z39" w:id="32"/>
    <w:p>
      <w:pPr>
        <w:spacing w:after="0"/>
        <w:ind w:left="0"/>
        <w:jc w:val="both"/>
      </w:pPr>
      <w:r>
        <w:rPr>
          <w:rFonts w:ascii="Times New Roman"/>
          <w:b w:val="false"/>
          <w:i w:val="false"/>
          <w:color w:val="000000"/>
          <w:sz w:val="28"/>
        </w:rPr>
        <w:t xml:space="preserve">
      </w:t>
      </w:r>
    </w:p>
    <w:bookmarkEnd w:id="3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Среднегодовые темпы роста объемов услуг в процентном соотношении по офисным помещениям и офисам класса "А" за период с 2018 по 2022 годы составили порядка 21 %. В денежном эквиваленте объемы рынка выросли со 160,8 (все офисы) и 49,6 млрд тенге (офисы класса "А") в 2018 году до 282,4 и 159,2 млрд тенге в 2022 году соответственно. Существенный рост рынка аренды коммерческой недвижимости, а также последующие прогнозы формируют положительную основу для развития данного направления.</w:t>
      </w:r>
    </w:p>
    <w:bookmarkEnd w:id="33"/>
    <w:bookmarkStart w:name="z41" w:id="34"/>
    <w:p>
      <w:pPr>
        <w:spacing w:after="0"/>
        <w:ind w:left="0"/>
        <w:jc w:val="both"/>
      </w:pPr>
      <w:r>
        <w:rPr>
          <w:rFonts w:ascii="Times New Roman"/>
          <w:b w:val="false"/>
          <w:i w:val="false"/>
          <w:color w:val="000000"/>
          <w:sz w:val="28"/>
        </w:rPr>
        <w:t>
      Общая площадь арендуемой коммерческой недвижимости в Астане составляет 1 589 тыс. кв.м, из которых доля класса "А" – 551 тыс. кв.м или 35 %. При этом доля Общества в структуре аренды коммерческой недвижимости класса "А" в Астане составляет порядка 43 % или 235 тыс. кв.м. При этом, несмотря на значительную долю в структуре рынка аренды офисной недвижимости класса "А", влияние Общества на ценообразование ставок аренды остается низким ввиду ограничений, связанных с предоставлением офисных площадей якорным резидентам.</w:t>
      </w:r>
    </w:p>
    <w:bookmarkEnd w:id="34"/>
    <w:bookmarkStart w:name="z42" w:id="35"/>
    <w:p>
      <w:pPr>
        <w:spacing w:after="0"/>
        <w:ind w:left="0"/>
        <w:jc w:val="both"/>
      </w:pPr>
      <w:r>
        <w:rPr>
          <w:rFonts w:ascii="Times New Roman"/>
          <w:b w:val="false"/>
          <w:i w:val="false"/>
          <w:color w:val="000000"/>
          <w:sz w:val="28"/>
        </w:rPr>
        <w:t>
      График 4. Рынок коммерческой недвижимости за 2023 год, кв.м</w:t>
      </w:r>
      <w:r>
        <w:rPr>
          <w:rFonts w:ascii="Times New Roman"/>
          <w:b w:val="false"/>
          <w:i w:val="false"/>
          <w:color w:val="000000"/>
          <w:vertAlign w:val="superscript"/>
        </w:rPr>
        <w:t>5</w:t>
      </w:r>
    </w:p>
    <w:bookmarkEnd w:id="35"/>
    <w:bookmarkStart w:name="z43" w:id="36"/>
    <w:p>
      <w:pPr>
        <w:spacing w:after="0"/>
        <w:ind w:left="0"/>
        <w:jc w:val="both"/>
      </w:pPr>
      <w:r>
        <w:rPr>
          <w:rFonts w:ascii="Times New Roman"/>
          <w:b w:val="false"/>
          <w:i w:val="false"/>
          <w:color w:val="000000"/>
          <w:sz w:val="28"/>
        </w:rPr>
        <w:t xml:space="preserve">
      </w:t>
      </w:r>
    </w:p>
    <w:bookmarkEnd w:id="3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xml:space="preserve">
      </w:t>
      </w:r>
      <w:r>
        <w:rPr>
          <w:rFonts w:ascii="Times New Roman"/>
          <w:b/>
          <w:i w:val="false"/>
          <w:color w:val="000000"/>
          <w:sz w:val="28"/>
        </w:rPr>
        <w:t>Рынок КВМ</w:t>
      </w:r>
    </w:p>
    <w:bookmarkEnd w:id="37"/>
    <w:bookmarkStart w:name="z45" w:id="38"/>
    <w:p>
      <w:pPr>
        <w:spacing w:after="0"/>
        <w:ind w:left="0"/>
        <w:jc w:val="both"/>
      </w:pPr>
      <w:r>
        <w:rPr>
          <w:rFonts w:ascii="Times New Roman"/>
          <w:b w:val="false"/>
          <w:i w:val="false"/>
          <w:color w:val="000000"/>
          <w:sz w:val="28"/>
        </w:rPr>
        <w:t>
      Сигналом успешного восстановления деловой активности в Казахстане после неблагоприятных условий, вызванных пандемией COVID-19, стал значительный рост проведения выставок и конференций.</w:t>
      </w:r>
    </w:p>
    <w:bookmarkEnd w:id="38"/>
    <w:bookmarkStart w:name="z46" w:id="39"/>
    <w:p>
      <w:pPr>
        <w:spacing w:after="0"/>
        <w:ind w:left="0"/>
        <w:jc w:val="both"/>
      </w:pPr>
      <w:r>
        <w:rPr>
          <w:rFonts w:ascii="Times New Roman"/>
          <w:b w:val="false"/>
          <w:i w:val="false"/>
          <w:color w:val="000000"/>
          <w:sz w:val="28"/>
        </w:rPr>
        <w:t xml:space="preserve">
      График 5. Объем услуг по организации выставок и конференций, млрд тенге </w:t>
      </w:r>
      <w:r>
        <w:rPr>
          <w:rFonts w:ascii="Times New Roman"/>
          <w:b w:val="false"/>
          <w:i w:val="false"/>
          <w:color w:val="000000"/>
          <w:vertAlign w:val="superscript"/>
        </w:rPr>
        <w:t>6</w:t>
      </w:r>
    </w:p>
    <w:bookmarkEnd w:id="39"/>
    <w:bookmarkStart w:name="z47" w:id="40"/>
    <w:p>
      <w:pPr>
        <w:spacing w:after="0"/>
        <w:ind w:left="0"/>
        <w:jc w:val="both"/>
      </w:pPr>
      <w:r>
        <w:rPr>
          <w:rFonts w:ascii="Times New Roman"/>
          <w:b w:val="false"/>
          <w:i w:val="false"/>
          <w:color w:val="000000"/>
          <w:sz w:val="28"/>
        </w:rPr>
        <w:t xml:space="preserve">
      </w:t>
      </w:r>
    </w:p>
    <w:bookmarkEnd w:id="4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8" w:id="41"/>
    <w:p>
      <w:pPr>
        <w:spacing w:after="0"/>
        <w:ind w:left="0"/>
        <w:jc w:val="both"/>
      </w:pPr>
      <w:r>
        <w:rPr>
          <w:rFonts w:ascii="Times New Roman"/>
          <w:b w:val="false"/>
          <w:i w:val="false"/>
          <w:color w:val="000000"/>
          <w:sz w:val="28"/>
        </w:rPr>
        <w:t>
      Объем рынка мероприятий (выставки и конференции) за период с 2018 по 2022 годы показал среднегодовой прирост в 24 %. Следует отметить, что средние темпы роста за период с 2018 по 2020 годы оказались отрицательными и составили минус 34 %, тогда как после пандемии COVID-19 наблюдается значительный рост в 42 % с 2020 по 2022 годы.</w:t>
      </w:r>
    </w:p>
    <w:bookmarkEnd w:id="41"/>
    <w:bookmarkStart w:name="z49" w:id="42"/>
    <w:p>
      <w:pPr>
        <w:spacing w:after="0"/>
        <w:ind w:left="0"/>
        <w:jc w:val="both"/>
      </w:pPr>
      <w:r>
        <w:rPr>
          <w:rFonts w:ascii="Times New Roman"/>
          <w:b w:val="false"/>
          <w:i w:val="false"/>
          <w:color w:val="000000"/>
          <w:sz w:val="28"/>
        </w:rPr>
        <w:t>
      Общество является ведущим участником рынка КВМ в городе Астане. В 2023 году проведено 117 КВМ, 50 мероприятий в МВЦ "EXPO", 64 мероприятия в КЦ и 3 в Музее энергии будущего cфера "Нур-Алем".</w:t>
      </w:r>
    </w:p>
    <w:bookmarkEnd w:id="42"/>
    <w:bookmarkStart w:name="z50" w:id="43"/>
    <w:p>
      <w:pPr>
        <w:spacing w:after="0"/>
        <w:ind w:left="0"/>
        <w:jc w:val="both"/>
      </w:pPr>
      <w:r>
        <w:rPr>
          <w:rFonts w:ascii="Times New Roman"/>
          <w:b w:val="false"/>
          <w:i w:val="false"/>
          <w:color w:val="000000"/>
          <w:sz w:val="28"/>
        </w:rPr>
        <w:t xml:space="preserve">
      </w:t>
      </w:r>
      <w:r>
        <w:rPr>
          <w:rFonts w:ascii="Times New Roman"/>
          <w:b/>
          <w:i w:val="false"/>
          <w:color w:val="000000"/>
          <w:sz w:val="28"/>
        </w:rPr>
        <w:t>Глобальные тренды</w:t>
      </w:r>
    </w:p>
    <w:bookmarkEnd w:id="43"/>
    <w:bookmarkStart w:name="z51" w:id="44"/>
    <w:p>
      <w:pPr>
        <w:spacing w:after="0"/>
        <w:ind w:left="0"/>
        <w:jc w:val="both"/>
      </w:pPr>
      <w:r>
        <w:rPr>
          <w:rFonts w:ascii="Times New Roman"/>
          <w:b w:val="false"/>
          <w:i w:val="false"/>
          <w:color w:val="000000"/>
          <w:sz w:val="28"/>
        </w:rPr>
        <w:t>
      Анализируя глобальные тренды, было рассмотрено 3 ключевых аспекта: устойчивое развитие, MICE-туризм и цифровизация.</w:t>
      </w:r>
    </w:p>
    <w:bookmarkEnd w:id="44"/>
    <w:bookmarkStart w:name="z52"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Устойчивое развитие </w:t>
      </w:r>
    </w:p>
    <w:bookmarkEnd w:id="45"/>
    <w:bookmarkStart w:name="z53" w:id="46"/>
    <w:p>
      <w:pPr>
        <w:spacing w:after="0"/>
        <w:ind w:left="0"/>
        <w:jc w:val="both"/>
      </w:pPr>
      <w:r>
        <w:rPr>
          <w:rFonts w:ascii="Times New Roman"/>
          <w:b w:val="false"/>
          <w:i w:val="false"/>
          <w:color w:val="000000"/>
          <w:sz w:val="28"/>
        </w:rPr>
        <w:t>
      Одним из важных и ключевых трендов развития мировой экономики за последнее десятилетие становится акцент на устойчивое развитие бизнеса и общества, включающий не только экономический интерес, но и интересы, связанные с экологией и окружающей средой, социальным благополучием как отдельного человека, так и общества в целом.</w:t>
      </w:r>
    </w:p>
    <w:bookmarkEnd w:id="46"/>
    <w:bookmarkStart w:name="z54" w:id="47"/>
    <w:p>
      <w:pPr>
        <w:spacing w:after="0"/>
        <w:ind w:left="0"/>
        <w:jc w:val="both"/>
      </w:pPr>
      <w:r>
        <w:rPr>
          <w:rFonts w:ascii="Times New Roman"/>
          <w:b w:val="false"/>
          <w:i w:val="false"/>
          <w:color w:val="000000"/>
          <w:sz w:val="28"/>
        </w:rPr>
        <w:t>
      В 2015 году для достижения данных целей было принято Парижское соглашение о климате и целях устойчивого развития ООН, которое предусматривает экологические, социальные и корпоративные риски. Глобальная стратегия декарбонизации, а также стремление к обеспечению общественного и гендерного равенства требуют принятия регуляторными органами мер по внедрению экологических стандартов и усилению корпоративной и социальной ответственности ESG.</w:t>
      </w:r>
    </w:p>
    <w:bookmarkEnd w:id="47"/>
    <w:bookmarkStart w:name="z55" w:id="48"/>
    <w:p>
      <w:pPr>
        <w:spacing w:after="0"/>
        <w:ind w:left="0"/>
        <w:jc w:val="both"/>
      </w:pPr>
      <w:r>
        <w:rPr>
          <w:rFonts w:ascii="Times New Roman"/>
          <w:b w:val="false"/>
          <w:i w:val="false"/>
          <w:color w:val="000000"/>
          <w:sz w:val="28"/>
        </w:rPr>
        <w:t>
      За последнее десятилетие государственные органы Казахстана провели значительную работу по созданию регуляторной среды в сфере ESG. Были разработаны документы в сфере корпоративного права, окружающей среды и социальных вопросов. Также разработан такой целеполагающий документ, как Стратегия достижения углеродной нейтральности Республики Казахстан до 2060 года.</w:t>
      </w:r>
    </w:p>
    <w:bookmarkEnd w:id="48"/>
    <w:bookmarkStart w:name="z56" w:id="49"/>
    <w:p>
      <w:pPr>
        <w:spacing w:after="0"/>
        <w:ind w:left="0"/>
        <w:jc w:val="both"/>
      </w:pPr>
      <w:r>
        <w:rPr>
          <w:rFonts w:ascii="Times New Roman"/>
          <w:b w:val="false"/>
          <w:i w:val="false"/>
          <w:color w:val="000000"/>
          <w:sz w:val="28"/>
        </w:rPr>
        <w:t>
      Кроме того, постановлением Правительства Республики Казахстан от 18 октября 2024 года № 868 утверждена Концепция инвестиционной политики Республики Казахстан до 2029 года, согласно которой будут разработаны требования к прозрачности методологий, внешней отчетности, формированию правил внутреннего контроля для поставщиков данных ESG и рейтинговых агентств. На сегодняшний день все больше отечественных компаний строят свою деятельность, основываясь на принципах устойчивого развития, активно реализуя проекты социальной и экологической направленности, разрабатывают и внедряют добровольные инициативы по раскрытию информации в сфере ESG.</w:t>
      </w:r>
    </w:p>
    <w:bookmarkEnd w:id="49"/>
    <w:bookmarkStart w:name="z57" w:id="50"/>
    <w:p>
      <w:pPr>
        <w:spacing w:after="0"/>
        <w:ind w:left="0"/>
        <w:jc w:val="both"/>
      </w:pPr>
      <w:r>
        <w:rPr>
          <w:rFonts w:ascii="Times New Roman"/>
          <w:b w:val="false"/>
          <w:i w:val="false"/>
          <w:color w:val="000000"/>
          <w:sz w:val="28"/>
        </w:rPr>
        <w:t xml:space="preserve">
      </w:t>
      </w:r>
      <w:r>
        <w:rPr>
          <w:rFonts w:ascii="Times New Roman"/>
          <w:b/>
          <w:i w:val="false"/>
          <w:color w:val="000000"/>
          <w:sz w:val="28"/>
        </w:rPr>
        <w:t>MICE-туризм</w:t>
      </w:r>
    </w:p>
    <w:bookmarkEnd w:id="50"/>
    <w:bookmarkStart w:name="z58" w:id="51"/>
    <w:p>
      <w:pPr>
        <w:spacing w:after="0"/>
        <w:ind w:left="0"/>
        <w:jc w:val="both"/>
      </w:pPr>
      <w:r>
        <w:rPr>
          <w:rFonts w:ascii="Times New Roman"/>
          <w:b w:val="false"/>
          <w:i w:val="false"/>
          <w:color w:val="000000"/>
          <w:sz w:val="28"/>
        </w:rPr>
        <w:t xml:space="preserve">
      В структуре мировой экономики и туризма одним из перспективных направлений развития на текущий момент стал MICE-туризм. Тренд связан с глобализацией деловых операций, которые требуют прямого взаимодействия, стимулируя развитие рынка. MICE-туризм служит для профессионалов важной платформой для встреч, обмена опытом и развития сотрудничества, создавая динамичную глобальную среду для передачи знаний и развития бизнеса. </w:t>
      </w:r>
    </w:p>
    <w:bookmarkEnd w:id="51"/>
    <w:bookmarkStart w:name="z59" w:id="52"/>
    <w:p>
      <w:pPr>
        <w:spacing w:after="0"/>
        <w:ind w:left="0"/>
        <w:jc w:val="both"/>
      </w:pPr>
      <w:r>
        <w:rPr>
          <w:rFonts w:ascii="Times New Roman"/>
          <w:b w:val="false"/>
          <w:i w:val="false"/>
          <w:color w:val="000000"/>
          <w:sz w:val="28"/>
        </w:rPr>
        <w:t>
      Рынок MICE-туризма в Казахстане активно развивается, представляя собой важный сегмент туристической индустрии, и становится все более привлекательным местом для проведения подобных мероприятий благодаря развитой инфраструктуре и возможности привлечения международных событий. Территория EXPO входит в число крупнейших выставочных объектов, включающих в себя МВЦ "EXPO", КЦ, гостиницу "Hilton". Данные объекты составляют необходимую инфраструктуру для развития MICE-туризма, что содействует как притоку иностранной валюты в регион, так и поступлению денежных средств в виде налогов и других обязательных платежей в бюджет страны.</w:t>
      </w:r>
    </w:p>
    <w:bookmarkEnd w:id="52"/>
    <w:bookmarkStart w:name="z60" w:id="53"/>
    <w:p>
      <w:pPr>
        <w:spacing w:after="0"/>
        <w:ind w:left="0"/>
        <w:jc w:val="both"/>
      </w:pPr>
      <w:r>
        <w:rPr>
          <w:rFonts w:ascii="Times New Roman"/>
          <w:b w:val="false"/>
          <w:i w:val="false"/>
          <w:color w:val="000000"/>
          <w:sz w:val="28"/>
        </w:rPr>
        <w:t xml:space="preserve">
      </w:t>
      </w:r>
      <w:r>
        <w:rPr>
          <w:rFonts w:ascii="Times New Roman"/>
          <w:b/>
          <w:i w:val="false"/>
          <w:color w:val="000000"/>
          <w:sz w:val="28"/>
        </w:rPr>
        <w:t>Цифровизация</w:t>
      </w:r>
    </w:p>
    <w:bookmarkEnd w:id="53"/>
    <w:bookmarkStart w:name="z61" w:id="54"/>
    <w:p>
      <w:pPr>
        <w:spacing w:after="0"/>
        <w:ind w:left="0"/>
        <w:jc w:val="both"/>
      </w:pPr>
      <w:r>
        <w:rPr>
          <w:rFonts w:ascii="Times New Roman"/>
          <w:b w:val="false"/>
          <w:i w:val="false"/>
          <w:color w:val="000000"/>
          <w:sz w:val="28"/>
        </w:rPr>
        <w:t xml:space="preserve">
      Пандемия COVID-19 привела к ускорению цифровой трансформации, которая открывает уникальные возможности для решения различных задач и привлекает все больше инвестиций в новейшие технологии. </w:t>
      </w:r>
    </w:p>
    <w:bookmarkEnd w:id="54"/>
    <w:bookmarkStart w:name="z62" w:id="55"/>
    <w:p>
      <w:pPr>
        <w:spacing w:after="0"/>
        <w:ind w:left="0"/>
        <w:jc w:val="both"/>
      </w:pPr>
      <w:r>
        <w:rPr>
          <w:rFonts w:ascii="Times New Roman"/>
          <w:b w:val="false"/>
          <w:i w:val="false"/>
          <w:color w:val="000000"/>
          <w:sz w:val="28"/>
        </w:rPr>
        <w:t>
      Опыт международных компаний, активно внедряющих технологии цифровизации, показывает существенное улучшение операционной деятельности. Мировые компании и одновременно крупнейшие игроки рынка КВМ "Informa" и "Reed Exhibitions" развивают цифровые направления "Informa Tech" и "Reed Exhibitions Digital Service", которые занимаются аналитикой рынка для определения целевой аудитории, повышают узнаваемость бренда с помощью целевой цифровой рекламы и спонсорства для более чем 125 миллионов профессионалов по всему миру. Таким образом, данные платформы фокусируются на повышении клиентоориентированности и функциональности процессов.</w:t>
      </w:r>
    </w:p>
    <w:bookmarkEnd w:id="55"/>
    <w:bookmarkStart w:name="z63" w:id="56"/>
    <w:p>
      <w:pPr>
        <w:spacing w:after="0"/>
        <w:ind w:left="0"/>
        <w:jc w:val="both"/>
      </w:pPr>
      <w:r>
        <w:rPr>
          <w:rFonts w:ascii="Times New Roman"/>
          <w:b w:val="false"/>
          <w:i w:val="false"/>
          <w:color w:val="000000"/>
          <w:sz w:val="28"/>
        </w:rPr>
        <w:t xml:space="preserve">
      Автоматизация бизнес-процессов для компаний в сфере КВМ позволяет значительно сократить производственные и временные затраты, цифровой контроль процессов позволяет своевременно реагировать на внештатные события и повысить эффективность принятия управленческих решений. </w:t>
      </w:r>
    </w:p>
    <w:bookmarkEnd w:id="56"/>
    <w:bookmarkStart w:name="z64" w:id="57"/>
    <w:p>
      <w:pPr>
        <w:spacing w:after="0"/>
        <w:ind w:left="0"/>
        <w:jc w:val="both"/>
      </w:pPr>
      <w:r>
        <w:rPr>
          <w:rFonts w:ascii="Times New Roman"/>
          <w:b w:val="false"/>
          <w:i w:val="false"/>
          <w:color w:val="000000"/>
          <w:sz w:val="28"/>
        </w:rPr>
        <w:t xml:space="preserve">
      </w:t>
      </w:r>
      <w:r>
        <w:rPr>
          <w:rFonts w:ascii="Times New Roman"/>
          <w:b/>
          <w:i w:val="false"/>
          <w:color w:val="000000"/>
          <w:sz w:val="28"/>
        </w:rPr>
        <w:t>Международный опыт</w:t>
      </w:r>
    </w:p>
    <w:bookmarkEnd w:id="57"/>
    <w:bookmarkStart w:name="z65" w:id="58"/>
    <w:p>
      <w:pPr>
        <w:spacing w:after="0"/>
        <w:ind w:left="0"/>
        <w:jc w:val="both"/>
      </w:pPr>
      <w:r>
        <w:rPr>
          <w:rFonts w:ascii="Times New Roman"/>
          <w:b w:val="false"/>
          <w:i w:val="false"/>
          <w:color w:val="000000"/>
          <w:sz w:val="28"/>
        </w:rPr>
        <w:t>
      Анализируя международный опыт, были рассмотрены ключевые аспекты, релевантные для Общества, такие как управление коммерческой недвижимостью и проведение КВМ.</w:t>
      </w:r>
    </w:p>
    <w:bookmarkEnd w:id="58"/>
    <w:bookmarkStart w:name="z66" w:id="59"/>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Управление коммерческой недвижимостью</w:t>
      </w:r>
    </w:p>
    <w:bookmarkEnd w:id="59"/>
    <w:bookmarkStart w:name="z67" w:id="60"/>
    <w:p>
      <w:pPr>
        <w:spacing w:after="0"/>
        <w:ind w:left="0"/>
        <w:jc w:val="both"/>
      </w:pPr>
      <w:r>
        <w:rPr>
          <w:rFonts w:ascii="Times New Roman"/>
          <w:b w:val="false"/>
          <w:i w:val="false"/>
          <w:color w:val="000000"/>
          <w:sz w:val="28"/>
        </w:rPr>
        <w:t>
      Несмотря на изменения, вызванные пандемией, спрос на офисные помещения продолжает расти. Это особенно заметно в Европе и странах Азии, где новые компании и расширяющиеся бизнесы нуждаются в наращивании офисного пространства для своей деятельности. Секторы IT и телекоммуникаций являются одними из основных драйверов роста спроса на офисные помещения. Массовый найм в этих отраслях и масштабирование бизнеса требуют большего количества офисных пространств с высоким уровнем комфорта.</w:t>
      </w:r>
    </w:p>
    <w:bookmarkEnd w:id="60"/>
    <w:bookmarkStart w:name="z68" w:id="61"/>
    <w:p>
      <w:pPr>
        <w:spacing w:after="0"/>
        <w:ind w:left="0"/>
        <w:jc w:val="both"/>
      </w:pPr>
      <w:r>
        <w:rPr>
          <w:rFonts w:ascii="Times New Roman"/>
          <w:b w:val="false"/>
          <w:i w:val="false"/>
          <w:color w:val="000000"/>
          <w:sz w:val="28"/>
        </w:rPr>
        <w:t>
      Необходимо отметить, что современные требования к гибкости рабочих мест привели к увеличению спроса на коворкинг-центры и офисы нового поколения, которые предлагают удобство с акцентом на здоровье и благополучие сотрудников. Также важной тенденцией среди мировых компаний в области аренды офисной недвижимости становится концепция built-to-suit, при котором разработка и строительство объекта производятся в соответствии с конкретными техническими требованиями и потребностями заказчика. Это может включать специфические планировочные решения, корпоративные цвета, мебель и другие элементы, которые полностью адаптированы под бизнес-процессы и корпоративную культуру клиента. Подобная концепция Обществом была применена при сдаче в аренду офисных помещений для якорных арендаторов (МФЦА, Astana Hub, IT Университет).</w:t>
      </w:r>
    </w:p>
    <w:bookmarkEnd w:id="61"/>
    <w:bookmarkStart w:name="z69" w:id="62"/>
    <w:p>
      <w:pPr>
        <w:spacing w:after="0"/>
        <w:ind w:left="0"/>
        <w:jc w:val="both"/>
      </w:pPr>
      <w:r>
        <w:rPr>
          <w:rFonts w:ascii="Times New Roman"/>
          <w:b w:val="false"/>
          <w:i w:val="false"/>
          <w:color w:val="000000"/>
          <w:sz w:val="28"/>
        </w:rPr>
        <w:t>
      В зависимости от специфики деятельности и наличия компетенции мировые компании в области аренды коммерческой недвижимости используют различные модели управления коммерческой недвижимостью, среди которых наиболее распространены следующие:</w:t>
      </w:r>
    </w:p>
    <w:bookmarkEnd w:id="62"/>
    <w:bookmarkStart w:name="z70" w:id="63"/>
    <w:p>
      <w:pPr>
        <w:spacing w:after="0"/>
        <w:ind w:left="0"/>
        <w:jc w:val="both"/>
      </w:pPr>
      <w:r>
        <w:rPr>
          <w:rFonts w:ascii="Times New Roman"/>
          <w:b w:val="false"/>
          <w:i w:val="false"/>
          <w:color w:val="000000"/>
          <w:sz w:val="28"/>
        </w:rPr>
        <w:t>
      "Asset Management" – это доверительное управление, включающее в себя полное управление финансовыми потоками собственника недвижимости, включая содержание и эксплуатацию объектов.</w:t>
      </w:r>
    </w:p>
    <w:bookmarkEnd w:id="63"/>
    <w:bookmarkStart w:name="z71" w:id="64"/>
    <w:p>
      <w:pPr>
        <w:spacing w:after="0"/>
        <w:ind w:left="0"/>
        <w:jc w:val="both"/>
      </w:pPr>
      <w:r>
        <w:rPr>
          <w:rFonts w:ascii="Times New Roman"/>
          <w:b w:val="false"/>
          <w:i w:val="false"/>
          <w:color w:val="000000"/>
          <w:sz w:val="28"/>
        </w:rPr>
        <w:t>
      "Property Management" – это коммерческое управление, включающее в себя поиск и привлечение арендаторов, комплексное ведение взаимоотношений с ними, а также ротацию арендаторов.</w:t>
      </w:r>
    </w:p>
    <w:bookmarkEnd w:id="64"/>
    <w:bookmarkStart w:name="z72" w:id="65"/>
    <w:p>
      <w:pPr>
        <w:spacing w:after="0"/>
        <w:ind w:left="0"/>
        <w:jc w:val="both"/>
      </w:pPr>
      <w:r>
        <w:rPr>
          <w:rFonts w:ascii="Times New Roman"/>
          <w:b w:val="false"/>
          <w:i w:val="false"/>
          <w:color w:val="000000"/>
          <w:sz w:val="28"/>
        </w:rPr>
        <w:t>
      "Facility Management" – это содержание и эксплуатация объектов, обеспечение максимально комфортных условий работы для арендаторов.</w:t>
      </w:r>
    </w:p>
    <w:bookmarkEnd w:id="65"/>
    <w:bookmarkStart w:name="z73" w:id="66"/>
    <w:p>
      <w:pPr>
        <w:spacing w:after="0"/>
        <w:ind w:left="0"/>
        <w:jc w:val="both"/>
      </w:pPr>
      <w:r>
        <w:rPr>
          <w:rFonts w:ascii="Times New Roman"/>
          <w:b w:val="false"/>
          <w:i w:val="false"/>
          <w:color w:val="000000"/>
          <w:sz w:val="28"/>
        </w:rPr>
        <w:t>
      Общество в своей деятельности активно применяет все три модели управления офисной и коммерческой недвижимостью, соответствуя международным стандартам и опыту аналогичных международных компаний лидеров в данном сегменте.</w:t>
      </w:r>
    </w:p>
    <w:bookmarkEnd w:id="66"/>
    <w:bookmarkStart w:name="z74" w:id="67"/>
    <w:p>
      <w:pPr>
        <w:spacing w:after="0"/>
        <w:ind w:left="0"/>
        <w:jc w:val="both"/>
      </w:pPr>
      <w:r>
        <w:rPr>
          <w:rFonts w:ascii="Times New Roman"/>
          <w:b w:val="false"/>
          <w:i w:val="false"/>
          <w:color w:val="000000"/>
          <w:sz w:val="28"/>
        </w:rPr>
        <w:t xml:space="preserve">
      </w:t>
      </w:r>
      <w:r>
        <w:rPr>
          <w:rFonts w:ascii="Times New Roman"/>
          <w:b/>
          <w:i w:val="false"/>
          <w:color w:val="000000"/>
          <w:sz w:val="28"/>
        </w:rPr>
        <w:t>КВМ</w:t>
      </w:r>
    </w:p>
    <w:bookmarkEnd w:id="67"/>
    <w:bookmarkStart w:name="z75" w:id="68"/>
    <w:p>
      <w:pPr>
        <w:spacing w:after="0"/>
        <w:ind w:left="0"/>
        <w:jc w:val="both"/>
      </w:pPr>
      <w:r>
        <w:rPr>
          <w:rFonts w:ascii="Times New Roman"/>
          <w:b w:val="false"/>
          <w:i w:val="false"/>
          <w:color w:val="000000"/>
          <w:sz w:val="28"/>
        </w:rPr>
        <w:t>
      В рамках анализа рынка КВМ рассмотрен международный опыт двух самых крупных в мире частных компаний в сфере КВМ – "Reed Exhibitions" и "UBM Events", а также квазигосударственных компаний – Фонд "Россконгресс" и "Deutsche Messe" AG.</w:t>
      </w:r>
    </w:p>
    <w:bookmarkEnd w:id="68"/>
    <w:p>
      <w:pPr>
        <w:spacing w:after="0"/>
        <w:ind w:left="0"/>
        <w:jc w:val="both"/>
      </w:pPr>
      <w:bookmarkStart w:name="z76" w:id="69"/>
      <w:r>
        <w:rPr>
          <w:rFonts w:ascii="Times New Roman"/>
          <w:b w:val="false"/>
          <w:i w:val="false"/>
          <w:color w:val="000000"/>
          <w:sz w:val="28"/>
        </w:rPr>
        <w:t>
      "Reed Exhibitions" и "UBM Events" являются мировыми лидирующими операторами в индустрии по организации различного рода мероприятий с применением новейших технологий. Компании суммарно проводят более</w:t>
      </w:r>
    </w:p>
    <w:bookmarkEnd w:id="69"/>
    <w:p>
      <w:pPr>
        <w:spacing w:after="0"/>
        <w:ind w:left="0"/>
        <w:jc w:val="both"/>
      </w:pPr>
      <w:r>
        <w:rPr>
          <w:rFonts w:ascii="Times New Roman"/>
          <w:b w:val="false"/>
          <w:i w:val="false"/>
          <w:color w:val="000000"/>
          <w:sz w:val="28"/>
        </w:rPr>
        <w:t>850 мероприятий в год в 30 странах, привлекая более 7 млн участников с общим объемом выручки на начало 2023 года в 2,1 млрд долл. США. Для достижения успеха на рынке КВМ данные компании инвестировали в быстрый рост портфеля мероприятия через сделки слияния и поглощения с другими операторами КВМ, без создания собственных новых мероприятий. Это позволило данным компаниям сосредоточиться на повышении операционной эффективности и окупаемости каждого мероприятия, что привело к росту не только доходности, но и рентабельности.</w:t>
      </w:r>
    </w:p>
    <w:bookmarkStart w:name="z77" w:id="70"/>
    <w:p>
      <w:pPr>
        <w:spacing w:after="0"/>
        <w:ind w:left="0"/>
        <w:jc w:val="both"/>
      </w:pPr>
      <w:r>
        <w:rPr>
          <w:rFonts w:ascii="Times New Roman"/>
          <w:b w:val="false"/>
          <w:i w:val="false"/>
          <w:color w:val="000000"/>
          <w:sz w:val="28"/>
        </w:rPr>
        <w:t>
      Фонд "Россконгресс" учрежден в 2007 году и является одним из крупнейших операторов на рынке КВМ России, 100 % акций которого принадлежат государству. Фонд "Россконгресс" содействует развитию экономического потенциала и укрепления имиджа России посредством проведения международных конгрессных, выставочных и общественных мероприятий, освещает вопросы российской и глобальной экономической повестки. Фонд обеспечивает администрирование и содействует продвижению бизнес-проектов и привлечению инвестиций, в том числе в рамках государственно-частного партнерства. Для успешной организации мероприятий Фонд "Россконгресс" дополнительно предоставляет следующие услуги: управление проектами, медийное сопровождение, продвижение бизнес-проектов, организация культурных и спортивных программ.</w:t>
      </w:r>
    </w:p>
    <w:bookmarkEnd w:id="70"/>
    <w:bookmarkStart w:name="z78" w:id="71"/>
    <w:p>
      <w:pPr>
        <w:spacing w:after="0"/>
        <w:ind w:left="0"/>
        <w:jc w:val="both"/>
      </w:pPr>
      <w:r>
        <w:rPr>
          <w:rFonts w:ascii="Times New Roman"/>
          <w:b w:val="false"/>
          <w:i w:val="false"/>
          <w:color w:val="000000"/>
          <w:sz w:val="28"/>
        </w:rPr>
        <w:t xml:space="preserve">
      "Deutsche Messe" AG (Германия) на 100 % принадлежит государству и входит в ТОП-10 крупнейших компаний мира по размерам выставочных площадей. Компания является организатором крупнейшей торговой выставки Hannover Messe, являющейся не только экономическим, но и имиджевым событием Германии. Ежегодно "Deutsche Messe" AG привлекает более 40 тыс. экспонентов, 3,5 млн участников проводит более 130 выставок, использует более 3,5 млн кв.м выставочных площадей, работает в 110 странах и использует 48 выставочных площадок. Компания также была оператором международной выставки EXPO Hannover-2000 и является одним из немногих операторов, сохранивших направление КВМ в своей деятельности после выставки. </w:t>
      </w:r>
    </w:p>
    <w:bookmarkEnd w:id="71"/>
    <w:bookmarkStart w:name="z79" w:id="72"/>
    <w:p>
      <w:pPr>
        <w:spacing w:after="0"/>
        <w:ind w:left="0"/>
        <w:jc w:val="both"/>
      </w:pPr>
      <w:r>
        <w:rPr>
          <w:rFonts w:ascii="Times New Roman"/>
          <w:b w:val="false"/>
          <w:i w:val="false"/>
          <w:color w:val="000000"/>
          <w:sz w:val="28"/>
        </w:rPr>
        <w:t>
      Одним из главных факторов успеха "Deutsche Messe" AG является организация КВМ на самые актуальные темы: цифровизация, искусственный интеллект, биотехнологии, блокчейн, интернет вещей и другие. Помимо самостоятельно созданных КВМ портфель мероприятий "Deutsche Messe" AG на 57 % состоит из приобретенных и совместно организуемых мероприятий. Важными элементами успеха "Deutsche Messe" являются широкая база выставок и мероприятий, присутствие на международных рынках, поддержка государства и адаптация к современным тенденциям.</w:t>
      </w:r>
    </w:p>
    <w:bookmarkEnd w:id="72"/>
    <w:bookmarkStart w:name="z80" w:id="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PEST-анализ </w:t>
      </w:r>
    </w:p>
    <w:bookmarkEnd w:id="73"/>
    <w:bookmarkStart w:name="z81" w:id="74"/>
    <w:p>
      <w:pPr>
        <w:spacing w:after="0"/>
        <w:ind w:left="0"/>
        <w:jc w:val="both"/>
      </w:pPr>
      <w:r>
        <w:rPr>
          <w:rFonts w:ascii="Times New Roman"/>
          <w:b w:val="false"/>
          <w:i w:val="false"/>
          <w:color w:val="000000"/>
          <w:sz w:val="28"/>
        </w:rPr>
        <w:t xml:space="preserve">
      PEST анализ указывает на внешние факторы, воздействующие на деятельность Общества и перспективы реализации Плана развития. К ним относятся политические, экономические, социальные и технологические факторы, каждый из которых имеет как положительное, так и отрицательное влияние. </w:t>
      </w:r>
    </w:p>
    <w:bookmarkEnd w:id="74"/>
    <w:bookmarkStart w:name="z82" w:id="75"/>
    <w:p>
      <w:pPr>
        <w:spacing w:after="0"/>
        <w:ind w:left="0"/>
        <w:jc w:val="both"/>
      </w:pPr>
      <w:r>
        <w:rPr>
          <w:rFonts w:ascii="Times New Roman"/>
          <w:b w:val="false"/>
          <w:i w:val="false"/>
          <w:color w:val="000000"/>
          <w:sz w:val="28"/>
        </w:rPr>
        <w:t>
      Таблица 1. PEST анализ Общества</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›Политическая стабильность в стране;</w:t>
            </w:r>
          </w:p>
          <w:bookmarkEnd w:id="76"/>
          <w:bookmarkStart w:name="z84" w:id="77"/>
          <w:p>
            <w:pPr>
              <w:spacing w:after="20"/>
              <w:ind w:left="20"/>
              <w:jc w:val="both"/>
            </w:pPr>
            <w:r>
              <w:rPr>
                <w:rFonts w:ascii="Times New Roman"/>
                <w:b w:val="false"/>
                <w:i w:val="false"/>
                <w:color w:val="000000"/>
                <w:sz w:val="20"/>
              </w:rPr>
              <w:t>
›Размещение государственных институтов развития на территории "EXPO";</w:t>
            </w:r>
          </w:p>
          <w:bookmarkEnd w:id="77"/>
          <w:bookmarkStart w:name="z85" w:id="78"/>
          <w:p>
            <w:pPr>
              <w:spacing w:after="20"/>
              <w:ind w:left="20"/>
              <w:jc w:val="both"/>
            </w:pPr>
            <w:r>
              <w:rPr>
                <w:rFonts w:ascii="Times New Roman"/>
                <w:b w:val="false"/>
                <w:i w:val="false"/>
                <w:color w:val="000000"/>
                <w:sz w:val="20"/>
              </w:rPr>
              <w:t>
›Активное развитие международных связей страны, включая развитие туризма</w:t>
            </w:r>
          </w:p>
          <w:bookmarkEnd w:id="78"/>
          <w:bookmarkStart w:name="z86" w:id="79"/>
          <w:p>
            <w:pPr>
              <w:spacing w:after="20"/>
              <w:ind w:left="20"/>
              <w:jc w:val="both"/>
            </w:pPr>
            <w:r>
              <w:rPr>
                <w:rFonts w:ascii="Times New Roman"/>
                <w:b w:val="false"/>
                <w:i w:val="false"/>
                <w:color w:val="000000"/>
                <w:sz w:val="20"/>
              </w:rPr>
              <w:t>
›Высокая значимость Общества, как национальной компании, ответственной за сохранение EXPO</w:t>
            </w:r>
          </w:p>
          <w:bookmarkEnd w:id="79"/>
          <w:p>
            <w:pPr>
              <w:spacing w:after="20"/>
              <w:ind w:left="20"/>
              <w:jc w:val="both"/>
            </w:pPr>
            <w:r>
              <w:rPr>
                <w:rFonts w:ascii="Times New Roman"/>
                <w:b w:val="false"/>
                <w:i w:val="false"/>
                <w:color w:val="000000"/>
                <w:sz w:val="20"/>
              </w:rPr>
              <w:t>
›Государство является единственным акционером, что позволяет задействовать государственные ресурсы, включая тесное взаимодействие с министерствами, ведомствами и тому подобное.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›Льготы по налогу на имущество;</w:t>
            </w:r>
          </w:p>
          <w:bookmarkEnd w:id="80"/>
          <w:bookmarkStart w:name="z88" w:id="81"/>
          <w:p>
            <w:pPr>
              <w:spacing w:after="20"/>
              <w:ind w:left="20"/>
              <w:jc w:val="both"/>
            </w:pPr>
            <w:r>
              <w:rPr>
                <w:rFonts w:ascii="Times New Roman"/>
                <w:b w:val="false"/>
                <w:i w:val="false"/>
                <w:color w:val="000000"/>
                <w:sz w:val="20"/>
              </w:rPr>
              <w:t>
›Повышение экономического статуса Казахстана в Центральной Азии и релокация зарубежного бизнеса;</w:t>
            </w:r>
          </w:p>
          <w:bookmarkEnd w:id="81"/>
          <w:p>
            <w:pPr>
              <w:spacing w:after="20"/>
              <w:ind w:left="20"/>
              <w:jc w:val="both"/>
            </w:pPr>
            <w:r>
              <w:rPr>
                <w:rFonts w:ascii="Times New Roman"/>
                <w:b w:val="false"/>
                <w:i w:val="false"/>
                <w:color w:val="000000"/>
                <w:sz w:val="20"/>
              </w:rPr>
              <w:t>
›Инвестиции, направленные на энергоэффективность и повышение производительности труда, а также цели государства по снижению энергоемкости страны до 50 % до 2050 года, могут содействовать Обществу снизить расходы на коммунальные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›Активное развитие Астанинской агломерации содействует развитию туризма;</w:t>
            </w:r>
          </w:p>
          <w:bookmarkEnd w:id="82"/>
          <w:p>
            <w:pPr>
              <w:spacing w:after="20"/>
              <w:ind w:left="20"/>
              <w:jc w:val="both"/>
            </w:pPr>
            <w:r>
              <w:rPr>
                <w:rFonts w:ascii="Times New Roman"/>
                <w:b w:val="false"/>
                <w:i w:val="false"/>
                <w:color w:val="000000"/>
                <w:sz w:val="20"/>
              </w:rPr>
              <w:t>
›Растущая тенденция по внедрению ведущими мировыми компаниями устойчивого развития и принципов ESG.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3"/>
          <w:p>
            <w:pPr>
              <w:spacing w:after="20"/>
              <w:ind w:left="20"/>
              <w:jc w:val="both"/>
            </w:pPr>
            <w:r>
              <w:rPr>
                <w:rFonts w:ascii="Times New Roman"/>
                <w:b w:val="false"/>
                <w:i w:val="false"/>
                <w:color w:val="000000"/>
                <w:sz w:val="20"/>
              </w:rPr>
              <w:t xml:space="preserve">
›Повышение эффективности содержания активов за счет внедрения инноваций и сокращения издержек при использовании строительных материалов в производстве; </w:t>
            </w:r>
          </w:p>
          <w:bookmarkEnd w:id="83"/>
          <w:p>
            <w:pPr>
              <w:spacing w:after="20"/>
              <w:ind w:left="20"/>
              <w:jc w:val="both"/>
            </w:pPr>
            <w:r>
              <w:rPr>
                <w:rFonts w:ascii="Times New Roman"/>
                <w:b w:val="false"/>
                <w:i w:val="false"/>
                <w:color w:val="000000"/>
                <w:sz w:val="20"/>
              </w:rPr>
              <w:t>
›Высокий уровень инноваций в сфере технологий для водо- и энергосбережения в мире.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4"/>
          <w:p>
            <w:pPr>
              <w:spacing w:after="20"/>
              <w:ind w:left="20"/>
              <w:jc w:val="both"/>
            </w:pPr>
            <w:r>
              <w:rPr>
                <w:rFonts w:ascii="Times New Roman"/>
                <w:b w:val="false"/>
                <w:i w:val="false"/>
                <w:color w:val="000000"/>
                <w:sz w:val="20"/>
              </w:rPr>
              <w:t>
›Геополитическая нестабильность в мире,</w:t>
            </w:r>
          </w:p>
          <w:bookmarkEnd w:id="84"/>
          <w:p>
            <w:pPr>
              <w:spacing w:after="20"/>
              <w:ind w:left="20"/>
              <w:jc w:val="both"/>
            </w:pPr>
            <w:r>
              <w:rPr>
                <w:rFonts w:ascii="Times New Roman"/>
                <w:b w:val="false"/>
                <w:i w:val="false"/>
                <w:color w:val="000000"/>
                <w:sz w:val="20"/>
              </w:rPr>
              <w:t>
›Возможность изменения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5"/>
          <w:p>
            <w:pPr>
              <w:spacing w:after="20"/>
              <w:ind w:left="20"/>
              <w:jc w:val="both"/>
            </w:pPr>
            <w:r>
              <w:rPr>
                <w:rFonts w:ascii="Times New Roman"/>
                <w:b w:val="false"/>
                <w:i w:val="false"/>
                <w:color w:val="000000"/>
                <w:sz w:val="20"/>
              </w:rPr>
              <w:t>
›Низкий темп роста экономики и высокий уровень инфляции;</w:t>
            </w:r>
          </w:p>
          <w:bookmarkEnd w:id="85"/>
          <w:bookmarkStart w:name="z93" w:id="86"/>
          <w:p>
            <w:pPr>
              <w:spacing w:after="20"/>
              <w:ind w:left="20"/>
              <w:jc w:val="both"/>
            </w:pPr>
            <w:r>
              <w:rPr>
                <w:rFonts w:ascii="Times New Roman"/>
                <w:b w:val="false"/>
                <w:i w:val="false"/>
                <w:color w:val="000000"/>
                <w:sz w:val="20"/>
              </w:rPr>
              <w:t>
›Потеря ключевых торговых партнеров-стран в связи с экономическими санкциями;</w:t>
            </w:r>
          </w:p>
          <w:bookmarkEnd w:id="86"/>
          <w:bookmarkStart w:name="z94" w:id="87"/>
          <w:p>
            <w:pPr>
              <w:spacing w:after="20"/>
              <w:ind w:left="20"/>
              <w:jc w:val="both"/>
            </w:pPr>
            <w:r>
              <w:rPr>
                <w:rFonts w:ascii="Times New Roman"/>
                <w:b w:val="false"/>
                <w:i w:val="false"/>
                <w:color w:val="000000"/>
                <w:sz w:val="20"/>
              </w:rPr>
              <w:t>
›Снижение доходов населения и покупательской способности;</w:t>
            </w:r>
          </w:p>
          <w:bookmarkEnd w:id="87"/>
          <w:p>
            <w:pPr>
              <w:spacing w:after="20"/>
              <w:ind w:left="20"/>
              <w:jc w:val="both"/>
            </w:pPr>
            <w:r>
              <w:rPr>
                <w:rFonts w:ascii="Times New Roman"/>
                <w:b w:val="false"/>
                <w:i w:val="false"/>
                <w:color w:val="000000"/>
                <w:sz w:val="20"/>
              </w:rPr>
              <w:t>
›Рост стоимости тарифов на коммунальные услуги повышает себестоимость услуг Общества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›Высокая миграция населения;</w:t>
            </w:r>
          </w:p>
          <w:bookmarkEnd w:id="88"/>
          <w:bookmarkStart w:name="z96" w:id="89"/>
          <w:p>
            <w:pPr>
              <w:spacing w:after="20"/>
              <w:ind w:left="20"/>
              <w:jc w:val="both"/>
            </w:pPr>
            <w:r>
              <w:rPr>
                <w:rFonts w:ascii="Times New Roman"/>
                <w:b w:val="false"/>
                <w:i w:val="false"/>
                <w:color w:val="000000"/>
                <w:sz w:val="20"/>
              </w:rPr>
              <w:t>
›Низкий уровень осведомленности и вовлеченности населения по вопросам устойчивого развития;</w:t>
            </w:r>
          </w:p>
          <w:bookmarkEnd w:id="89"/>
          <w:p>
            <w:pPr>
              <w:spacing w:after="20"/>
              <w:ind w:left="20"/>
              <w:jc w:val="both"/>
            </w:pPr>
            <w:r>
              <w:rPr>
                <w:rFonts w:ascii="Times New Roman"/>
                <w:b w:val="false"/>
                <w:i w:val="false"/>
                <w:color w:val="000000"/>
                <w:sz w:val="20"/>
              </w:rPr>
              <w:t>
›Риск сокращений и увольнений работников в случае, установленном вышестоящими государственными органами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0"/>
          <w:p>
            <w:pPr>
              <w:spacing w:after="20"/>
              <w:ind w:left="20"/>
              <w:jc w:val="both"/>
            </w:pPr>
            <w:r>
              <w:rPr>
                <w:rFonts w:ascii="Times New Roman"/>
                <w:b w:val="false"/>
                <w:i w:val="false"/>
                <w:color w:val="000000"/>
                <w:sz w:val="20"/>
              </w:rPr>
              <w:t>
›Низкие компетенции Общества в сфере экологической безопасности процессов снижают возможности Общества придерживаться принципов "зеленой экономики".</w:t>
            </w:r>
          </w:p>
          <w:bookmarkEnd w:id="90"/>
          <w:p>
            <w:pPr>
              <w:spacing w:after="20"/>
              <w:ind w:left="20"/>
              <w:jc w:val="both"/>
            </w:pPr>
          </w:p>
          <w:p>
            <w:pPr>
              <w:spacing w:after="20"/>
              <w:ind w:left="20"/>
              <w:jc w:val="both"/>
            </w:pPr>
          </w:p>
        </w:tc>
      </w:tr>
    </w:tbl>
    <w:bookmarkStart w:name="z98" w:id="91"/>
    <w:p>
      <w:pPr>
        <w:spacing w:after="0"/>
        <w:ind w:left="0"/>
        <w:jc w:val="both"/>
      </w:pPr>
      <w:r>
        <w:rPr>
          <w:rFonts w:ascii="Times New Roman"/>
          <w:b w:val="false"/>
          <w:i w:val="false"/>
          <w:color w:val="000000"/>
          <w:sz w:val="28"/>
        </w:rPr>
        <w:t>
      Ключевые выводы по анализу текущего состояния внешней среды</w:t>
      </w:r>
    </w:p>
    <w:bookmarkEnd w:id="91"/>
    <w:bookmarkStart w:name="z99" w:id="92"/>
    <w:p>
      <w:pPr>
        <w:spacing w:after="0"/>
        <w:ind w:left="0"/>
        <w:jc w:val="both"/>
      </w:pPr>
      <w:r>
        <w:rPr>
          <w:rFonts w:ascii="Times New Roman"/>
          <w:b w:val="false"/>
          <w:i w:val="false"/>
          <w:color w:val="000000"/>
          <w:sz w:val="28"/>
        </w:rPr>
        <w:t>
      За период реализации предыдущего плана развития Общества мировая и национальная экономика столкнулась с рядом внешних вызовов, одним из которых стала пандемия COVID-2019. Активное восстановление экономик в течение следующих трех лет после пандемии сменилось нестабильностью геополитической ситуации и снижением мировых темпов роста.</w:t>
      </w:r>
    </w:p>
    <w:bookmarkEnd w:id="92"/>
    <w:bookmarkStart w:name="z100" w:id="93"/>
    <w:p>
      <w:pPr>
        <w:spacing w:after="0"/>
        <w:ind w:left="0"/>
        <w:jc w:val="both"/>
      </w:pPr>
      <w:r>
        <w:rPr>
          <w:rFonts w:ascii="Times New Roman"/>
          <w:b w:val="false"/>
          <w:i w:val="false"/>
          <w:color w:val="000000"/>
          <w:sz w:val="28"/>
        </w:rPr>
        <w:t>
      Общество, как национальная компания, ориентируясь на стимулирование деловой активности и привлечение инвестиций в регион, продолжит активное присутствие на рынках аренды коммерческой недвижимости в рамках делового центра Астаны и конгрессно-выставочной деятельности. Несмотря на высокие темпы роста данных отраслей последние три года Общество осознает замедление темпов роста мировой экономики и учитывает этот фактор при разработке и расчете прогнозных данных.</w:t>
      </w:r>
    </w:p>
    <w:bookmarkEnd w:id="93"/>
    <w:bookmarkStart w:name="z101" w:id="94"/>
    <w:p>
      <w:pPr>
        <w:spacing w:after="0"/>
        <w:ind w:left="0"/>
        <w:jc w:val="both"/>
      </w:pPr>
      <w:r>
        <w:rPr>
          <w:rFonts w:ascii="Times New Roman"/>
          <w:b w:val="false"/>
          <w:i w:val="false"/>
          <w:color w:val="000000"/>
          <w:sz w:val="28"/>
        </w:rPr>
        <w:t>
      Рассматривая мировые тенденции, важным аспектом для Общества, является дальнейшее развитие инфраструктуры для организации и проведения мероприятий MICE-туризма на территории EXPO, которое подчеркивает роль Общества в содействии развития туризма в регионе и повышении его привлекательности для международных компаний.</w:t>
      </w:r>
    </w:p>
    <w:bookmarkEnd w:id="94"/>
    <w:bookmarkStart w:name="z102" w:id="95"/>
    <w:p>
      <w:pPr>
        <w:spacing w:after="0"/>
        <w:ind w:left="0"/>
        <w:jc w:val="both"/>
      </w:pPr>
      <w:r>
        <w:rPr>
          <w:rFonts w:ascii="Times New Roman"/>
          <w:b w:val="false"/>
          <w:i w:val="false"/>
          <w:color w:val="000000"/>
          <w:sz w:val="28"/>
        </w:rPr>
        <w:t>
      В целом Общество намерено продолжить поддержку мировых стандартов и принципов экологического, социального и корпоративного управления для повышения инвестиционной привлекательности и вклада в достижение целей устойчивого развития ООН, что подчеркивает стратегическую ориентацию Общества на долгосрочные результаты и социальную ответственность.</w:t>
      </w:r>
    </w:p>
    <w:bookmarkEnd w:id="95"/>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Источник: https://www.statista.com/statistics/268750/global-gross-domestic-product-gdp/</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Statista.com, https://www.statista.com/statistics/436143/gross-domestic-product-gdp-in-kazakhstan/</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https://stat.gov.kz/ru/industries/economy/national-accounts/publications/117664/</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Stat.gov.kz, https://stat.gov.kz/api/iblock/element/6113/file/ru/</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Источник: Krisha.kz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Stat.gov.kz, https://stat.gov.kz/api/iblock/element/6113/file/ru/</w:t>
      </w:r>
    </w:p>
    <w:p>
      <w:pPr>
        <w:spacing w:after="0"/>
        <w:ind w:left="0"/>
        <w:jc w:val="both"/>
      </w:pPr>
      <w:r>
        <w:rPr>
          <w:rFonts w:ascii="Times New Roman"/>
          <w:b/>
          <w:i w:val="false"/>
          <w:color w:val="000000"/>
          <w:sz w:val="28"/>
        </w:rPr>
        <w:t>1. Анализ текущего состояния АО "НК "QazExpoCongress"</w:t>
      </w:r>
    </w:p>
    <w:p>
      <w:pPr>
        <w:spacing w:after="0"/>
        <w:ind w:left="0"/>
        <w:jc w:val="both"/>
      </w:pPr>
      <w:r>
        <w:rPr>
          <w:rFonts w:ascii="Times New Roman"/>
          <w:b/>
          <w:i w:val="false"/>
          <w:color w:val="000000"/>
          <w:sz w:val="28"/>
        </w:rPr>
        <w:t>1.2. Анализ текущего состояния внутренней среды</w:t>
      </w:r>
    </w:p>
    <w:bookmarkStart w:name="z105" w:id="96"/>
    <w:p>
      <w:pPr>
        <w:spacing w:after="0"/>
        <w:ind w:left="0"/>
        <w:jc w:val="both"/>
      </w:pPr>
      <w:r>
        <w:rPr>
          <w:rFonts w:ascii="Times New Roman"/>
          <w:b w:val="false"/>
          <w:i w:val="false"/>
          <w:color w:val="000000"/>
          <w:sz w:val="28"/>
        </w:rPr>
        <w:t>
      Основными направлениями деятельности Общества являются повышение качества оказываемых услуг, организация международных мероприятий, увеличение прибыли Общества за сче т сдачи в аренду коммерческих помещений, а также развитие инфраструктуры делового центра EXPO. В данном разделе рассмотрены текущий анализ деятельности Общества, текущее состояние активов, финансовая устойчивость, корпоративное управление, человеческие ресурсы, а также анализ цифровизации Общества.</w:t>
      </w:r>
    </w:p>
    <w:bookmarkEnd w:id="96"/>
    <w:bookmarkStart w:name="z106" w:id="97"/>
    <w:p>
      <w:pPr>
        <w:spacing w:after="0"/>
        <w:ind w:left="0"/>
        <w:jc w:val="both"/>
      </w:pPr>
      <w:r>
        <w:rPr>
          <w:rFonts w:ascii="Times New Roman"/>
          <w:b w:val="false"/>
          <w:i w:val="false"/>
          <w:color w:val="000000"/>
          <w:sz w:val="28"/>
        </w:rPr>
        <w:t xml:space="preserve">
      </w:t>
      </w:r>
      <w:r>
        <w:rPr>
          <w:rFonts w:ascii="Times New Roman"/>
          <w:b/>
          <w:i w:val="false"/>
          <w:color w:val="000000"/>
          <w:sz w:val="28"/>
        </w:rPr>
        <w:t>Анализ деятельности Общества</w:t>
      </w:r>
    </w:p>
    <w:bookmarkEnd w:id="97"/>
    <w:bookmarkStart w:name="z107" w:id="98"/>
    <w:p>
      <w:pPr>
        <w:spacing w:after="0"/>
        <w:ind w:left="0"/>
        <w:jc w:val="both"/>
      </w:pPr>
      <w:r>
        <w:rPr>
          <w:rFonts w:ascii="Times New Roman"/>
          <w:b w:val="false"/>
          <w:i w:val="false"/>
          <w:color w:val="000000"/>
          <w:sz w:val="28"/>
        </w:rPr>
        <w:t xml:space="preserve">
      В рамках реализации предыдущего плана развития Общества на 2015 – 2024 годы ключевыми направлениями деятельности для Общество являлись сохранение наследия EXPO-2017 и дальнейшее использование объектов выставки. Для реализации этих целей Обществом были проведены работы по реконструкции объектов EXPO. Большая часть выставочных объектов реконструирована в офисные пространства, а также в площади для конгрессно-выставочной деятельности. Выбор направления реконструкции был обусловлен миссией по созданию на территории EXPO современного делового центра, который должен стать центром развития IT, финансовой и конгрессно-выставочной деятельности. </w:t>
      </w:r>
    </w:p>
    <w:bookmarkEnd w:id="98"/>
    <w:bookmarkStart w:name="z108" w:id="99"/>
    <w:p>
      <w:pPr>
        <w:spacing w:after="0"/>
        <w:ind w:left="0"/>
        <w:jc w:val="both"/>
      </w:pPr>
      <w:r>
        <w:rPr>
          <w:rFonts w:ascii="Times New Roman"/>
          <w:b w:val="false"/>
          <w:i w:val="false"/>
          <w:color w:val="000000"/>
          <w:sz w:val="28"/>
        </w:rPr>
        <w:t xml:space="preserve">
      Таким образом, миссия по созданию современного делового пространства, способствующего внедрению передовых практик в сфере финансов, образования, организации конгрессов и выставок, а также в инновационной сфере, успешно достигнута. Территория EXPO стала неотъемлемой частью столицы и значимым фактором в развитии экономической, образовательной и культурной сфер Казахстана. </w:t>
      </w:r>
    </w:p>
    <w:bookmarkEnd w:id="99"/>
    <w:bookmarkStart w:name="z109" w:id="100"/>
    <w:p>
      <w:pPr>
        <w:spacing w:after="0"/>
        <w:ind w:left="0"/>
        <w:jc w:val="both"/>
      </w:pPr>
      <w:r>
        <w:rPr>
          <w:rFonts w:ascii="Times New Roman"/>
          <w:b w:val="false"/>
          <w:i w:val="false"/>
          <w:color w:val="000000"/>
          <w:sz w:val="28"/>
        </w:rPr>
        <w:t>
      Более того, сегодня деловой центр "EXPO" стал центральной экосистемой развития финансовой и IT сферы столицы, которая представлена объектами МФЦА, Astana Hub и Astana IT University, что позволяет привлекать не только предпринимателей, но и интеллектуальные ресурсы с творческими идеями. Обществу удалось реализовать потенциал развития объектов, находящихся в управлении. Загрузка БЦ достигла 100 %, загрузка конгресс центра и МВЦ "EXPO" составляет порядка 300 дней в год.</w:t>
      </w:r>
    </w:p>
    <w:bookmarkEnd w:id="100"/>
    <w:bookmarkStart w:name="z110" w:id="101"/>
    <w:p>
      <w:pPr>
        <w:spacing w:after="0"/>
        <w:ind w:left="0"/>
        <w:jc w:val="both"/>
      </w:pPr>
      <w:r>
        <w:rPr>
          <w:rFonts w:ascii="Times New Roman"/>
          <w:b w:val="false"/>
          <w:i w:val="false"/>
          <w:color w:val="000000"/>
          <w:sz w:val="28"/>
        </w:rPr>
        <w:t>
      Однако необходимо отметить, что высокая загрузка объектов, а также уникальные технические и архитектурные характеристики являются фактором ускоренного физического износа, что формирует необходимость проведения Обществом капитальных и восстановительных работ объектов в будущем, а также повышения ежегодных расходов на их содержание.</w:t>
      </w:r>
    </w:p>
    <w:bookmarkEnd w:id="101"/>
    <w:bookmarkStart w:name="z111" w:id="102"/>
    <w:p>
      <w:pPr>
        <w:spacing w:after="0"/>
        <w:ind w:left="0"/>
        <w:jc w:val="both"/>
      </w:pPr>
      <w:r>
        <w:rPr>
          <w:rFonts w:ascii="Times New Roman"/>
          <w:b w:val="false"/>
          <w:i w:val="false"/>
          <w:color w:val="000000"/>
          <w:sz w:val="28"/>
        </w:rPr>
        <w:t>
      Также территория EXPO является одним из центров проведения конгрессно-выставочных и культурно-массовых мероприятий, в общем числе на ее территории было проведено 380 мероприятий за период с 2021 по 2023 годы, из них 150 конференций, форумов и съездов, в том числе с участием Главы государства и Премьер-Министра, а также 230 культурно-массовых мероприятий. Территория EXPO имеет широкий профиль объектов, включающих в себя МВЦ "EXPO", КЦ, гостиницу "Hilton", которые составляют необходимую инфраструктуру для развития событийного MICE-туризма не только города Астаны, но и Казахстана в целом.</w:t>
      </w:r>
    </w:p>
    <w:bookmarkEnd w:id="102"/>
    <w:bookmarkStart w:name="z112" w:id="103"/>
    <w:p>
      <w:pPr>
        <w:spacing w:after="0"/>
        <w:ind w:left="0"/>
        <w:jc w:val="both"/>
      </w:pPr>
      <w:r>
        <w:rPr>
          <w:rFonts w:ascii="Times New Roman"/>
          <w:b w:val="false"/>
          <w:i w:val="false"/>
          <w:color w:val="000000"/>
          <w:sz w:val="28"/>
        </w:rPr>
        <w:t>
      Еще  одними из ключевых видов деятельности Общества являются проведение имиджевых международных мероприятий и представление Казахстана на международных выставках EXPO. Так, Общество являлось основным оператором EXPO-2017 Astana, а также представляло павильоны Казахстана на международных специализированных выставках EXPO 2015 Milan, EXPO 2016 Antalya, EXPO 2020 Dubai. Проведенные выставки показали высокий уровень профессионализма и эффективность работы Общества в данном направлении. Так, на последней выставке EXPO 2020 Dubai за шесть месяцев национальный павильон посетило более 1,6 млн человек, благодаря чему казахстанский павильон вошел в топ-10 самых посещаемых мест выставки. Общество продолжит данную деятельность и в будущем. На текущий момент планируется участие Казахстана во всемирной выставке EXPO 2025 Osaka.</w:t>
      </w:r>
    </w:p>
    <w:bookmarkEnd w:id="103"/>
    <w:bookmarkStart w:name="z113" w:id="104"/>
    <w:p>
      <w:pPr>
        <w:spacing w:after="0"/>
        <w:ind w:left="0"/>
        <w:jc w:val="both"/>
      </w:pPr>
      <w:r>
        <w:rPr>
          <w:rFonts w:ascii="Times New Roman"/>
          <w:b w:val="false"/>
          <w:i w:val="false"/>
          <w:color w:val="000000"/>
          <w:sz w:val="28"/>
        </w:rPr>
        <w:t xml:space="preserve">
      Сохранение казахстанского павильона, как наследия выставки EXPO-2017 Astana, стало одной из ключевых задач, стоящих перед Обществом. Данная задача успешно выполнена Обществом, сфера "Нур-Алем" стала одним из символов города Астаны, которая привлекает более 300 тыс. посетителей в год. </w:t>
      </w:r>
    </w:p>
    <w:bookmarkEnd w:id="104"/>
    <w:bookmarkStart w:name="z114" w:id="105"/>
    <w:p>
      <w:pPr>
        <w:spacing w:after="0"/>
        <w:ind w:left="0"/>
        <w:jc w:val="both"/>
      </w:pPr>
      <w:r>
        <w:rPr>
          <w:rFonts w:ascii="Times New Roman"/>
          <w:b w:val="false"/>
          <w:i w:val="false"/>
          <w:color w:val="000000"/>
          <w:sz w:val="28"/>
        </w:rPr>
        <w:t>
      Также с целью выхода на финансовую безубыточность в течение реализации предыдущего плана развития Обществом успешно реализованы активы в виде земельных участков, не задействованные в основной деятельности Общества.</w:t>
      </w:r>
    </w:p>
    <w:bookmarkEnd w:id="105"/>
    <w:bookmarkStart w:name="z115" w:id="106"/>
    <w:p>
      <w:pPr>
        <w:spacing w:after="0"/>
        <w:ind w:left="0"/>
        <w:jc w:val="both"/>
      </w:pPr>
      <w:r>
        <w:rPr>
          <w:rFonts w:ascii="Times New Roman"/>
          <w:b w:val="false"/>
          <w:i w:val="false"/>
          <w:color w:val="000000"/>
          <w:sz w:val="28"/>
        </w:rPr>
        <w:t>
      Помимо прочего важным стратегическим направлением являлось устойчивое развитие Общества. Для реализации данного направления Обществом проведены работы по повышению операционной эффективности и оптимизации расходов. Это позволило Обществу выйти на операционную безубыточность и полностью уйти от дотаций из государственного бюджета, несмотря на неблагоприятные внешнеэкономические факторы в предыдущие годы.</w:t>
      </w:r>
    </w:p>
    <w:bookmarkEnd w:id="106"/>
    <w:bookmarkStart w:name="z116" w:id="107"/>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Текущее состояние активов Общества</w:t>
      </w:r>
    </w:p>
    <w:bookmarkEnd w:id="107"/>
    <w:bookmarkStart w:name="z117" w:id="108"/>
    <w:p>
      <w:pPr>
        <w:spacing w:after="0"/>
        <w:ind w:left="0"/>
        <w:jc w:val="both"/>
      </w:pPr>
      <w:r>
        <w:rPr>
          <w:rFonts w:ascii="Times New Roman"/>
          <w:b w:val="false"/>
          <w:i w:val="false"/>
          <w:color w:val="000000"/>
          <w:sz w:val="28"/>
        </w:rPr>
        <w:t>
      На текущий момент на балансе Общества имеются крупные объекты (здания) общей площадью более 382,5 тыс. кв.м Общая площадь делового центра составляет порядка 215,6 тыс. кв.м, в нее входят БЦ, КЦ, МВЦ "EXPO", а также гостиница "Hilton".</w:t>
      </w:r>
    </w:p>
    <w:bookmarkEnd w:id="108"/>
    <w:bookmarkStart w:name="z118" w:id="109"/>
    <w:p>
      <w:pPr>
        <w:spacing w:after="0"/>
        <w:ind w:left="0"/>
        <w:jc w:val="both"/>
      </w:pPr>
      <w:r>
        <w:rPr>
          <w:rFonts w:ascii="Times New Roman"/>
          <w:b w:val="false"/>
          <w:i w:val="false"/>
          <w:color w:val="000000"/>
          <w:sz w:val="28"/>
        </w:rPr>
        <w:t xml:space="preserve">
      Рисунок 1. География присутствия Общества </w:t>
      </w:r>
    </w:p>
    <w:bookmarkEnd w:id="109"/>
    <w:bookmarkStart w:name="z119" w:id="110"/>
    <w:p>
      <w:pPr>
        <w:spacing w:after="0"/>
        <w:ind w:left="0"/>
        <w:jc w:val="both"/>
      </w:pPr>
      <w:r>
        <w:rPr>
          <w:rFonts w:ascii="Times New Roman"/>
          <w:b w:val="false"/>
          <w:i w:val="false"/>
          <w:color w:val="000000"/>
          <w:sz w:val="28"/>
        </w:rPr>
        <w:t xml:space="preserve">
      </w:t>
      </w:r>
    </w:p>
    <w:bookmarkEnd w:id="11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20" w:id="111"/>
    <w:p>
      <w:pPr>
        <w:spacing w:after="0"/>
        <w:ind w:left="0"/>
        <w:jc w:val="both"/>
      </w:pPr>
      <w:r>
        <w:rPr>
          <w:rFonts w:ascii="Times New Roman"/>
          <w:b w:val="false"/>
          <w:i w:val="false"/>
          <w:color w:val="000000"/>
          <w:sz w:val="28"/>
        </w:rPr>
        <w:t xml:space="preserve">
      БЦ с площадью офисной недвижимости в 33,9 тыс. кв.м является самым доходным, его выручка в 2023 году составила 1,5 млрд тенге. В нем размещены более 25 компаний, в том числе субъекты квазигосударственного сектора, такие как АО "НК "Kazakh Tourism" и АО "НИТ". </w:t>
      </w:r>
    </w:p>
    <w:bookmarkEnd w:id="111"/>
    <w:bookmarkStart w:name="z121" w:id="112"/>
    <w:p>
      <w:pPr>
        <w:spacing w:after="0"/>
        <w:ind w:left="0"/>
        <w:jc w:val="both"/>
      </w:pPr>
      <w:r>
        <w:rPr>
          <w:rFonts w:ascii="Times New Roman"/>
          <w:b w:val="false"/>
          <w:i w:val="false"/>
          <w:color w:val="000000"/>
          <w:sz w:val="28"/>
        </w:rPr>
        <w:t>
      Также офисная недвижимость представлена блоками, в которых расположены якорные резиденты (Astana IT University, Astana Hub и МФЦА), ряд государственных институтов, АСПИР, Агентство по финансовому мониторингу (далее – АФМ), Офис Цифрового Правительства и Академия физической культуры и массового спорта (APEMS).</w:t>
      </w:r>
    </w:p>
    <w:bookmarkEnd w:id="112"/>
    <w:p>
      <w:pPr>
        <w:spacing w:after="0"/>
        <w:ind w:left="0"/>
        <w:jc w:val="both"/>
      </w:pPr>
      <w:bookmarkStart w:name="z122" w:id="113"/>
      <w:r>
        <w:rPr>
          <w:rFonts w:ascii="Times New Roman"/>
          <w:b w:val="false"/>
          <w:i w:val="false"/>
          <w:color w:val="000000"/>
          <w:sz w:val="28"/>
        </w:rPr>
        <w:t>
      КЦ с общей площадью 42 542,9 кв.м открылся 10 июня 2017 года, имеет 3 этажа и подземный автопаркинг, который рассчитан на 179 машино-мест. В непосредственной близости расположены пятизвездочный отель "Hilton" и торгово-развлекательный центр "Mega Silk Way". КЦ располагает широкими возможностями для проведения международных форумов, конференций, официальных мероприятий, а также спортивных и культурных событий. Загрузка КЦ и показатели доходности имеют положительную тенденцию. Показатели загрузки объекта выросли с 13 мероприятий в 2021 году до</w:t>
      </w:r>
    </w:p>
    <w:bookmarkEnd w:id="113"/>
    <w:p>
      <w:pPr>
        <w:spacing w:after="0"/>
        <w:ind w:left="0"/>
        <w:jc w:val="both"/>
      </w:pPr>
      <w:r>
        <w:rPr>
          <w:rFonts w:ascii="Times New Roman"/>
          <w:b w:val="false"/>
          <w:i w:val="false"/>
          <w:color w:val="000000"/>
          <w:sz w:val="28"/>
        </w:rPr>
        <w:t xml:space="preserve">64 мероприятий в 2023 году, выручка объекта составила 272 млн тенге, что превышает показатели двух предыдущих периодов. </w:t>
      </w:r>
    </w:p>
    <w:bookmarkStart w:name="z123" w:id="114"/>
    <w:p>
      <w:pPr>
        <w:spacing w:after="0"/>
        <w:ind w:left="0"/>
        <w:jc w:val="both"/>
      </w:pPr>
      <w:r>
        <w:rPr>
          <w:rFonts w:ascii="Times New Roman"/>
          <w:b w:val="false"/>
          <w:i w:val="false"/>
          <w:color w:val="000000"/>
          <w:sz w:val="28"/>
        </w:rPr>
        <w:t xml:space="preserve">
      МВЦ "EXPO" – многофункциональная бизнес-арена для проведения крупных международных и национальных выставок, конгрессных мероприятий и других масштабных событий. Общая площадь составляет 22 589,1 кв.м Имеется открытое пространство автопаркинга общей площадью 6 200 кв.м или 120 машино-мест, которое может быть использовано в качестве площадки для проведения выставок. Выставочный павильон оснащен современными средствами связи, инженерными сетями и удобными подъездными путями. Технические данные павильона позволяют заказчикам устанавливать, как стандартные, так и эксклюзивные выставочные стенды. МВЦ "EXPO" имеет высокую загрузку, которая в 2023 году составила 230 дней или 84 %, а доходы объекта превысили 1 млрд тенге в 2023 году, что больше в 2,5 раза показателя предыдущего года. </w:t>
      </w:r>
    </w:p>
    <w:bookmarkEnd w:id="114"/>
    <w:bookmarkStart w:name="z124" w:id="115"/>
    <w:p>
      <w:pPr>
        <w:spacing w:after="0"/>
        <w:ind w:left="0"/>
        <w:jc w:val="both"/>
      </w:pPr>
      <w:r>
        <w:rPr>
          <w:rFonts w:ascii="Times New Roman"/>
          <w:b w:val="false"/>
          <w:i w:val="false"/>
          <w:color w:val="000000"/>
          <w:sz w:val="28"/>
        </w:rPr>
        <w:t xml:space="preserve">
      Сфера "Нур-Алем", являясь символом города Астаны, стала его культурным достоянием. Объект представляет собой первый технологический Музей энергии будущего в Республике Казахстан и занимает 8 этажей, каждый из которых отражает свою концепцию: "Будущая Астана", "Энергия космоса", "Энергия Солнца", "Энергия ветра", "Энергия биомасс", "Кинетическая энергия", "Энергия воды" и "Национальный павильон". Доходы объекта в 2023 году достигли 199 млн тенге с посещаемостью 341 тысяча человек. </w:t>
      </w:r>
    </w:p>
    <w:bookmarkEnd w:id="115"/>
    <w:bookmarkStart w:name="z125" w:id="116"/>
    <w:p>
      <w:pPr>
        <w:spacing w:after="0"/>
        <w:ind w:left="0"/>
        <w:jc w:val="both"/>
      </w:pPr>
      <w:r>
        <w:rPr>
          <w:rFonts w:ascii="Times New Roman"/>
          <w:b w:val="false"/>
          <w:i w:val="false"/>
          <w:color w:val="000000"/>
          <w:sz w:val="28"/>
        </w:rPr>
        <w:t>
      Вместе с тем, согласно поручению Премьер-Министра Республики Казахстан Бектенова О.А. от 19 апреля 2024 года № 21-06/1917 к письму МЦРИАП от 17.04.2024 года за исходящим № 01-1-19/3074-И, а также решению Совета директоров Общества от 02.05.2024 года (протокол № 4), постановлением акимата города Астаны № 501-2123 от 21.06.2024 года Музей Энергии Будущего (сфера Нур-Алем) передан в коммунальную собственность акимата города Астаны для создания на его базе "Astana Center for AI" (Astana HUB).</w:t>
      </w:r>
    </w:p>
    <w:bookmarkEnd w:id="116"/>
    <w:bookmarkStart w:name="z126" w:id="117"/>
    <w:p>
      <w:pPr>
        <w:spacing w:after="0"/>
        <w:ind w:left="0"/>
        <w:jc w:val="both"/>
      </w:pPr>
      <w:r>
        <w:rPr>
          <w:rFonts w:ascii="Times New Roman"/>
          <w:b w:val="false"/>
          <w:i w:val="false"/>
          <w:color w:val="000000"/>
          <w:sz w:val="28"/>
        </w:rPr>
        <w:t>
      Гостиница "Hilton" – ультрасовременный отель на территории выставочного комплекса "ЕХРО-2017". Средняя заполняемость гостиницы "Hilton" достигла более 65 % номерного фонда, за период с 2021 по 2023 годы, что соответствует мировым практикам для полноценного функционирования, которые составляют 40-60 % загрузки. Выручка гостиницы в 2022 году превысила показатель 2021 года почти в 2,5 раза и составила 634 млн тенге, а в 2023 году показатель превысил 1 млрд тенге.</w:t>
      </w:r>
    </w:p>
    <w:bookmarkEnd w:id="117"/>
    <w:bookmarkStart w:name="z127" w:id="118"/>
    <w:p>
      <w:pPr>
        <w:spacing w:after="0"/>
        <w:ind w:left="0"/>
        <w:jc w:val="both"/>
      </w:pPr>
      <w:r>
        <w:rPr>
          <w:rFonts w:ascii="Times New Roman"/>
          <w:b w:val="false"/>
          <w:i w:val="false"/>
          <w:color w:val="000000"/>
          <w:sz w:val="28"/>
        </w:rPr>
        <w:t>
      Таблица 2. Информация по объектам Общества</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площадь, кв.м (без подземных паркингов, без технического этажа)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9"/>
          <w:p>
            <w:pPr>
              <w:spacing w:after="20"/>
              <w:ind w:left="20"/>
              <w:jc w:val="both"/>
            </w:pPr>
            <w:r>
              <w:rPr>
                <w:rFonts w:ascii="Times New Roman"/>
                <w:b w:val="false"/>
                <w:i w:val="false"/>
                <w:color w:val="000000"/>
                <w:sz w:val="20"/>
              </w:rPr>
              <w:t>
Общая</w:t>
            </w:r>
          </w:p>
          <w:bookmarkEnd w:id="119"/>
          <w:bookmarkStart w:name="z129" w:id="120"/>
          <w:p>
            <w:pPr>
              <w:spacing w:after="20"/>
              <w:ind w:left="20"/>
              <w:jc w:val="both"/>
            </w:pPr>
            <w:r>
              <w:rPr>
                <w:rFonts w:ascii="Times New Roman"/>
                <w:b w:val="false"/>
                <w:i w:val="false"/>
                <w:color w:val="000000"/>
                <w:sz w:val="20"/>
              </w:rPr>
              <w:t>
площадь, кв.м</w:t>
            </w:r>
          </w:p>
          <w:bookmarkEnd w:id="120"/>
          <w:bookmarkStart w:name="z130" w:id="121"/>
          <w:p>
            <w:pPr>
              <w:spacing w:after="20"/>
              <w:ind w:left="20"/>
              <w:jc w:val="both"/>
            </w:pPr>
            <w:r>
              <w:rPr>
                <w:rFonts w:ascii="Times New Roman"/>
                <w:b w:val="false"/>
                <w:i w:val="false"/>
                <w:color w:val="000000"/>
                <w:sz w:val="20"/>
              </w:rPr>
              <w:t>
(с подземными паркингами,</w:t>
            </w:r>
          </w:p>
          <w:bookmarkEnd w:id="121"/>
          <w:p>
            <w:pPr>
              <w:spacing w:after="20"/>
              <w:ind w:left="20"/>
              <w:jc w:val="both"/>
            </w:pPr>
            <w:r>
              <w:rPr>
                <w:rFonts w:ascii="Times New Roman"/>
                <w:b w:val="false"/>
                <w:i w:val="false"/>
                <w:color w:val="000000"/>
                <w:sz w:val="20"/>
              </w:rPr>
              <w:t>
с техническим этажом)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Проведенные реконструкции/ капитальный ремонт/модернизация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 В2.2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Проведена реконструкция. Акт приемки объекта в эксплуатацию от 13.12.2023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физической культуры и массового 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 В2.4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и фитнес центр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Многофункциональный зал с гибкой планировкой, выставочные зоны, банкетный зал, офисные помещения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МВЦ "EXPO"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Проведена реконструкция. Акт приемки объекта в эксплуатацию от 10.04.2020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Выставочный центр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Гостиница "Hilton"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 С1 (С1.1, С1.2, С1.3)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Проведена реконструкция. Акт приемки объекта в эксплуатацию от 29.08.2019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 С2 (С2.1, С2.2, С2.3)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2"/>
          <w:p>
            <w:pPr>
              <w:spacing w:after="20"/>
              <w:ind w:left="20"/>
              <w:jc w:val="both"/>
            </w:pPr>
            <w:r>
              <w:rPr>
                <w:rFonts w:ascii="Times New Roman"/>
                <w:b w:val="false"/>
                <w:i w:val="false"/>
                <w:color w:val="000000"/>
                <w:sz w:val="20"/>
              </w:rPr>
              <w:t>
Проведена реконструкция. Акт приемки объекта в эксплуатацию от 13.12.2018 года.</w:t>
            </w:r>
          </w:p>
          <w:bookmarkEnd w:id="122"/>
          <w:p>
            <w:pPr>
              <w:spacing w:after="20"/>
              <w:ind w:left="20"/>
              <w:jc w:val="both"/>
            </w:pPr>
            <w:r>
              <w:rPr>
                <w:rFonts w:ascii="Times New Roman"/>
                <w:b w:val="false"/>
                <w:i w:val="false"/>
                <w:color w:val="000000"/>
                <w:sz w:val="20"/>
              </w:rPr>
              <w:t>
Проведены ремонтные работы третьего этажа павильонов С2.1, С2.2 в период март-май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 (в т.ч. Офис Общества на третьем этаже павильонов С2.1, С2.2)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 С3 (С3.1, С3.2, С3.3, С3.4)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Проведена реконструкция. Акт приемки объекта в эксплуатацию от 21.12.2018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 С4 (С4.1, С4.2, С4.3, С4.4)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Проведена реконструкция. Акт приемки объекта в эксплуатацию от 21.12.2018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 С4.5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Проведена реконструкция. Акт приемки объекта в эксплуатацию от 30.04.2019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 С4.6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Проведена реконструкция. Акт приемки объекта С4.6 в эксплуатацию от 24.08.2018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 С1.4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Проведена реконструкция. Акт приемки объекта в эксплуатацию от 09.10.2018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 С2.4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Проведена реконструкция. Акт приемки объекта в эксплуатацию от 30.11.2021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Цифрового Правительства (МЦРИАП РК)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 С3.5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Проведена реконструкция. Акт приемки объекта в эксплуатацию от 25.08.2020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 С3.6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Проведена реконструкция. Акт приемки объекта в эксплуатацию от 30.12.2022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w:t>
            </w:r>
          </w:p>
        </w:tc>
      </w:tr>
    </w:tbl>
    <w:bookmarkStart w:name="z132" w:id="123"/>
    <w:p>
      <w:pPr>
        <w:spacing w:after="0"/>
        <w:ind w:left="0"/>
        <w:jc w:val="both"/>
      </w:pPr>
      <w:r>
        <w:rPr>
          <w:rFonts w:ascii="Times New Roman"/>
          <w:b w:val="false"/>
          <w:i w:val="false"/>
          <w:color w:val="000000"/>
          <w:sz w:val="28"/>
        </w:rPr>
        <w:t xml:space="preserve">
      </w:t>
      </w:r>
      <w:r>
        <w:rPr>
          <w:rFonts w:ascii="Times New Roman"/>
          <w:b/>
          <w:i w:val="false"/>
          <w:color w:val="000000"/>
          <w:sz w:val="28"/>
        </w:rPr>
        <w:t>Финансовая устойчивость</w:t>
      </w:r>
      <w:r>
        <w:rPr>
          <w:rFonts w:ascii="Times New Roman"/>
          <w:b w:val="false"/>
          <w:i w:val="false"/>
          <w:color w:val="000000"/>
          <w:sz w:val="28"/>
        </w:rPr>
        <w:t xml:space="preserve"> </w:t>
      </w:r>
    </w:p>
    <w:bookmarkEnd w:id="123"/>
    <w:bookmarkStart w:name="z133" w:id="124"/>
    <w:p>
      <w:pPr>
        <w:spacing w:after="0"/>
        <w:ind w:left="0"/>
        <w:jc w:val="both"/>
      </w:pPr>
      <w:r>
        <w:rPr>
          <w:rFonts w:ascii="Times New Roman"/>
          <w:b w:val="false"/>
          <w:i w:val="false"/>
          <w:color w:val="000000"/>
          <w:sz w:val="28"/>
        </w:rPr>
        <w:t xml:space="preserve">
      В течение 2022 – 2023 годов отмечается рост доходов Общества. В целом доля доходов от основной деятельности (от коммерциализации и конгрессно-выставочной деятельности) в 2022 году составила 53 % от общих доходов, или 11 285 млн тенге, в 2023 году уже 19 130 млн тенге. </w:t>
      </w:r>
    </w:p>
    <w:bookmarkEnd w:id="124"/>
    <w:bookmarkStart w:name="z134" w:id="125"/>
    <w:p>
      <w:pPr>
        <w:spacing w:after="0"/>
        <w:ind w:left="0"/>
        <w:jc w:val="both"/>
      </w:pPr>
      <w:r>
        <w:rPr>
          <w:rFonts w:ascii="Times New Roman"/>
          <w:b w:val="false"/>
          <w:i w:val="false"/>
          <w:color w:val="000000"/>
          <w:sz w:val="28"/>
        </w:rPr>
        <w:t xml:space="preserve">
      График 6. Доходы и расходы Общества, млн тенге </w:t>
      </w:r>
    </w:p>
    <w:bookmarkEnd w:id="125"/>
    <w:bookmarkStart w:name="z135" w:id="126"/>
    <w:p>
      <w:pPr>
        <w:spacing w:after="0"/>
        <w:ind w:left="0"/>
        <w:jc w:val="both"/>
      </w:pPr>
      <w:r>
        <w:rPr>
          <w:rFonts w:ascii="Times New Roman"/>
          <w:b w:val="false"/>
          <w:i w:val="false"/>
          <w:color w:val="000000"/>
          <w:sz w:val="28"/>
        </w:rPr>
        <w:t xml:space="preserve">
      </w:t>
      </w:r>
    </w:p>
    <w:bookmarkEnd w:id="12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36" w:id="127"/>
    <w:p>
      <w:pPr>
        <w:spacing w:after="0"/>
        <w:ind w:left="0"/>
        <w:jc w:val="both"/>
      </w:pPr>
      <w:r>
        <w:rPr>
          <w:rFonts w:ascii="Times New Roman"/>
          <w:b w:val="false"/>
          <w:i w:val="false"/>
          <w:color w:val="000000"/>
          <w:sz w:val="28"/>
        </w:rPr>
        <w:t>
      С 2021 года за счет повышения деловой активности, включая проведение конгрессно-выставочных и культурных мероприятий, Общество начало постепенно наращивать доходность, что позволило в 2023 году уйти от государственных субсидий (на 100 %) и за счет собственных источников финансировать основную деятельность, содержать объекты и территорию EXPO. Кроме того, Обществу удалось добиться положительного финансового результата и выйти на операционную безубыточность.</w:t>
      </w:r>
    </w:p>
    <w:bookmarkEnd w:id="127"/>
    <w:bookmarkStart w:name="z137" w:id="128"/>
    <w:p>
      <w:pPr>
        <w:spacing w:after="0"/>
        <w:ind w:left="0"/>
        <w:jc w:val="both"/>
      </w:pPr>
      <w:r>
        <w:rPr>
          <w:rFonts w:ascii="Times New Roman"/>
          <w:b w:val="false"/>
          <w:i w:val="false"/>
          <w:color w:val="000000"/>
          <w:sz w:val="28"/>
        </w:rPr>
        <w:t>
      Возросшая деловая активность после завершения периода карантина повлекла за собой и увеличение расходов Общества на содержание объектов. Необходимо отметить, что большая площадь объектов и уникальные технические характеристики некоторых объектов на территории делового центра EXPO, находящиеся под управлением Общества, являются ключевой причиной роста расходов на содержание и коммунальные услуги.</w:t>
      </w:r>
    </w:p>
    <w:bookmarkEnd w:id="128"/>
    <w:bookmarkStart w:name="z138" w:id="129"/>
    <w:p>
      <w:pPr>
        <w:spacing w:after="0"/>
        <w:ind w:left="0"/>
        <w:jc w:val="both"/>
      </w:pPr>
      <w:r>
        <w:rPr>
          <w:rFonts w:ascii="Times New Roman"/>
          <w:b w:val="false"/>
          <w:i w:val="false"/>
          <w:color w:val="000000"/>
          <w:sz w:val="28"/>
        </w:rPr>
        <w:t>
      Помимо прочего, необходимо отметить, что финансирование Корпоративного фонда ТВЦ "Казахстан" для проведения работ по реконструкции Национального павильона Республики Казахстан на территории Всемирной выставки EXPO-2020 в городе Дубай привело к незапланированному увеличению операционных расходов. Эти расходы включают перепланировку и переоборудование павильона, а также затраты на перенос контентного наполнения павильона из города Дубай (ОАЭ, Национального павильона Республики Казахстан) в город Москву (РФ, Павильон "Казахстан" на ВДНХ) и город Астану (РК, сфера "Нур-Алем").</w:t>
      </w:r>
    </w:p>
    <w:bookmarkEnd w:id="129"/>
    <w:bookmarkStart w:name="z139" w:id="130"/>
    <w:p>
      <w:pPr>
        <w:spacing w:after="0"/>
        <w:ind w:left="0"/>
        <w:jc w:val="both"/>
      </w:pPr>
      <w:r>
        <w:rPr>
          <w:rFonts w:ascii="Times New Roman"/>
          <w:b w:val="false"/>
          <w:i w:val="false"/>
          <w:color w:val="000000"/>
          <w:sz w:val="28"/>
        </w:rPr>
        <w:t xml:space="preserve">
      </w:t>
      </w:r>
      <w:r>
        <w:rPr>
          <w:rFonts w:ascii="Times New Roman"/>
          <w:b/>
          <w:i w:val="false"/>
          <w:color w:val="000000"/>
          <w:sz w:val="28"/>
        </w:rPr>
        <w:t>Корпоративное управление</w:t>
      </w:r>
    </w:p>
    <w:bookmarkEnd w:id="130"/>
    <w:bookmarkStart w:name="z140" w:id="131"/>
    <w:p>
      <w:pPr>
        <w:spacing w:after="0"/>
        <w:ind w:left="0"/>
        <w:jc w:val="both"/>
      </w:pPr>
      <w:r>
        <w:rPr>
          <w:rFonts w:ascii="Times New Roman"/>
          <w:b w:val="false"/>
          <w:i w:val="false"/>
          <w:color w:val="000000"/>
          <w:sz w:val="28"/>
        </w:rPr>
        <w:t xml:space="preserve">
      Корпоративная система управления Общества по сравнению с другими компаниями в Республике Казахстан демонстрирует уровень соответствия выше среднего, достигая 84 % (средний показатель по стране 75 %). </w:t>
      </w:r>
    </w:p>
    <w:bookmarkEnd w:id="131"/>
    <w:bookmarkStart w:name="z141" w:id="132"/>
    <w:p>
      <w:pPr>
        <w:spacing w:after="0"/>
        <w:ind w:left="0"/>
        <w:jc w:val="both"/>
      </w:pPr>
      <w:r>
        <w:rPr>
          <w:rFonts w:ascii="Times New Roman"/>
          <w:b w:val="false"/>
          <w:i w:val="false"/>
          <w:color w:val="000000"/>
          <w:sz w:val="28"/>
        </w:rPr>
        <w:t xml:space="preserve">
      Качество корпоративного управления является одним из важнейших факторов повышения оценочной стоимости Общества и его конкурентоспособности на рынке. Несмотря на то, что Общество достигло значительных результатов в данном направлении, самым низким показателем в независимой оценке корпоративного управления является устойчивое развитие с рейтингом 76 %. </w:t>
      </w:r>
    </w:p>
    <w:bookmarkEnd w:id="132"/>
    <w:bookmarkStart w:name="z142" w:id="133"/>
    <w:p>
      <w:pPr>
        <w:spacing w:after="0"/>
        <w:ind w:left="0"/>
        <w:jc w:val="both"/>
      </w:pPr>
      <w:r>
        <w:rPr>
          <w:rFonts w:ascii="Times New Roman"/>
          <w:b w:val="false"/>
          <w:i w:val="false"/>
          <w:color w:val="000000"/>
          <w:sz w:val="28"/>
        </w:rPr>
        <w:t>
      Осуществление эффективного корпоративного управления сегодня требует приоритетного внимания к принципам экологической, социальной и управленческой ответственности ESG. В целях дальнейшего улучшения корпоративного управления предлагается внедрить принципы ESG через ряд стратегических мероприятий.</w:t>
      </w:r>
    </w:p>
    <w:bookmarkEnd w:id="133"/>
    <w:bookmarkStart w:name="z143" w:id="134"/>
    <w:p>
      <w:pPr>
        <w:spacing w:after="0"/>
        <w:ind w:left="0"/>
        <w:jc w:val="both"/>
      </w:pPr>
      <w:r>
        <w:rPr>
          <w:rFonts w:ascii="Times New Roman"/>
          <w:b w:val="false"/>
          <w:i w:val="false"/>
          <w:color w:val="000000"/>
          <w:sz w:val="28"/>
        </w:rPr>
        <w:t>
      Предполагаются разработка и внедрение нормативной документации, устанавливающей стандарты и требования ESG для реализации принципов устойчивого развития. Далее одними из ключевых направлений являются обучение и вовлечение руководящего состава и работников компании в распространение устойчивых практик развития и принципов ESG.</w:t>
      </w:r>
    </w:p>
    <w:bookmarkEnd w:id="134"/>
    <w:bookmarkStart w:name="z144" w:id="135"/>
    <w:p>
      <w:pPr>
        <w:spacing w:after="0"/>
        <w:ind w:left="0"/>
        <w:jc w:val="both"/>
      </w:pPr>
      <w:r>
        <w:rPr>
          <w:rFonts w:ascii="Times New Roman"/>
          <w:b w:val="false"/>
          <w:i w:val="false"/>
          <w:color w:val="000000"/>
          <w:sz w:val="28"/>
        </w:rPr>
        <w:t>
      Также важным компонентом стратегии является обеспечение достижения Целей устойчивого развития ООН, релевантных для Общества.</w:t>
      </w:r>
    </w:p>
    <w:bookmarkEnd w:id="135"/>
    <w:bookmarkStart w:name="z145" w:id="136"/>
    <w:p>
      <w:pPr>
        <w:spacing w:after="0"/>
        <w:ind w:left="0"/>
        <w:jc w:val="both"/>
      </w:pPr>
      <w:r>
        <w:rPr>
          <w:rFonts w:ascii="Times New Roman"/>
          <w:b w:val="false"/>
          <w:i w:val="false"/>
          <w:color w:val="000000"/>
          <w:sz w:val="28"/>
        </w:rPr>
        <w:t xml:space="preserve">
      </w:t>
      </w:r>
      <w:r>
        <w:rPr>
          <w:rFonts w:ascii="Times New Roman"/>
          <w:b/>
          <w:i w:val="false"/>
          <w:color w:val="000000"/>
          <w:sz w:val="28"/>
        </w:rPr>
        <w:t>Человеческие ресурсы</w:t>
      </w:r>
    </w:p>
    <w:bookmarkEnd w:id="136"/>
    <w:bookmarkStart w:name="z146" w:id="137"/>
    <w:p>
      <w:pPr>
        <w:spacing w:after="0"/>
        <w:ind w:left="0"/>
        <w:jc w:val="both"/>
      </w:pPr>
      <w:r>
        <w:rPr>
          <w:rFonts w:ascii="Times New Roman"/>
          <w:b w:val="false"/>
          <w:i w:val="false"/>
          <w:color w:val="000000"/>
          <w:sz w:val="28"/>
        </w:rPr>
        <w:t>
      Кадровый состав Общества демонстрирует ориентированность на поддержание корпоративных ценностей и укрепление корпоративной культуры. Штатная численность сотрудников Общества составляет 146 человек, представляя собой высококвалифицированный персонал, готовый к успешной реализации стратегических целей и задач.</w:t>
      </w:r>
    </w:p>
    <w:bookmarkEnd w:id="137"/>
    <w:bookmarkStart w:name="z147" w:id="138"/>
    <w:p>
      <w:pPr>
        <w:spacing w:after="0"/>
        <w:ind w:left="0"/>
        <w:jc w:val="both"/>
      </w:pPr>
      <w:r>
        <w:rPr>
          <w:rFonts w:ascii="Times New Roman"/>
          <w:b w:val="false"/>
          <w:i w:val="false"/>
          <w:color w:val="000000"/>
          <w:sz w:val="28"/>
        </w:rPr>
        <w:t>
      Доля сотрудников, обладающих профессиональным опытом более 5 лет, составляет 96 %. Данный опыт подтвержден образованием у 20 % сотрудников, которые имеют степень магистратуры/MBA/докторантуры. Больше половины специалистов (58 %) обладают опытом работы более 3 лет в организации КВМ; 80 % сотрудников, принимавшие участие в свыше 5 КВМ.</w:t>
      </w:r>
    </w:p>
    <w:bookmarkEnd w:id="138"/>
    <w:bookmarkStart w:name="z148" w:id="139"/>
    <w:p>
      <w:pPr>
        <w:spacing w:after="0"/>
        <w:ind w:left="0"/>
        <w:jc w:val="both"/>
      </w:pPr>
      <w:r>
        <w:rPr>
          <w:rFonts w:ascii="Times New Roman"/>
          <w:b w:val="false"/>
          <w:i w:val="false"/>
          <w:color w:val="000000"/>
          <w:sz w:val="28"/>
        </w:rPr>
        <w:t>
      Компетенции и опыт сотрудников позволили Обществу успешно принять участие в международной специализированной выставке EXPO-2015 в Милане, EXPO-2016 в Анталии, успешно организовать международную выставку EXPO-2017 в Астане, а также EXPO-2020 Дубай, Международный форум Астана в период 2018 – 2019 годах и 2023 году, Форум межрегионального сотрудничества, МПК и другие.</w:t>
      </w:r>
    </w:p>
    <w:bookmarkEnd w:id="139"/>
    <w:bookmarkStart w:name="z149" w:id="140"/>
    <w:p>
      <w:pPr>
        <w:spacing w:after="0"/>
        <w:ind w:left="0"/>
        <w:jc w:val="both"/>
      </w:pPr>
      <w:r>
        <w:rPr>
          <w:rFonts w:ascii="Times New Roman"/>
          <w:b w:val="false"/>
          <w:i w:val="false"/>
          <w:color w:val="000000"/>
          <w:sz w:val="28"/>
        </w:rPr>
        <w:t xml:space="preserve">
      </w:t>
      </w:r>
      <w:r>
        <w:rPr>
          <w:rFonts w:ascii="Times New Roman"/>
          <w:b/>
          <w:i w:val="false"/>
          <w:color w:val="000000"/>
          <w:sz w:val="28"/>
        </w:rPr>
        <w:t>Цифровизация Общества</w:t>
      </w:r>
    </w:p>
    <w:bookmarkEnd w:id="140"/>
    <w:bookmarkStart w:name="z150" w:id="141"/>
    <w:p>
      <w:pPr>
        <w:spacing w:after="0"/>
        <w:ind w:left="0"/>
        <w:jc w:val="both"/>
      </w:pPr>
      <w:r>
        <w:rPr>
          <w:rFonts w:ascii="Times New Roman"/>
          <w:b w:val="false"/>
          <w:i w:val="false"/>
          <w:color w:val="000000"/>
          <w:sz w:val="28"/>
        </w:rPr>
        <w:t>
      В рамках устойчивого развития Обществом за период с 2020 – 2023 годы реализовано 5 проектов цифровизации и автоматизации бизнес-процессов:</w:t>
      </w:r>
    </w:p>
    <w:bookmarkEnd w:id="141"/>
    <w:bookmarkStart w:name="z151" w:id="142"/>
    <w:p>
      <w:pPr>
        <w:spacing w:after="0"/>
        <w:ind w:left="0"/>
        <w:jc w:val="both"/>
      </w:pPr>
      <w:r>
        <w:rPr>
          <w:rFonts w:ascii="Times New Roman"/>
          <w:b w:val="false"/>
          <w:i w:val="false"/>
          <w:color w:val="000000"/>
          <w:sz w:val="28"/>
        </w:rPr>
        <w:t>
      1. Внедрение системы электронного документооборота "Salem Office", вследствие чего Общество получило следующие положительные эффекты:</w:t>
      </w:r>
    </w:p>
    <w:bookmarkEnd w:id="142"/>
    <w:bookmarkStart w:name="z152" w:id="143"/>
    <w:p>
      <w:pPr>
        <w:spacing w:after="0"/>
        <w:ind w:left="0"/>
        <w:jc w:val="both"/>
      </w:pPr>
      <w:r>
        <w:rPr>
          <w:rFonts w:ascii="Times New Roman"/>
          <w:b w:val="false"/>
          <w:i w:val="false"/>
          <w:color w:val="000000"/>
          <w:sz w:val="28"/>
        </w:rPr>
        <w:t>
      a. Сокращение расходов на курьерские услуги на 30 %.</w:t>
      </w:r>
    </w:p>
    <w:bookmarkEnd w:id="143"/>
    <w:bookmarkStart w:name="z153" w:id="144"/>
    <w:p>
      <w:pPr>
        <w:spacing w:after="0"/>
        <w:ind w:left="0"/>
        <w:jc w:val="both"/>
      </w:pPr>
      <w:r>
        <w:rPr>
          <w:rFonts w:ascii="Times New Roman"/>
          <w:b w:val="false"/>
          <w:i w:val="false"/>
          <w:color w:val="000000"/>
          <w:sz w:val="28"/>
        </w:rPr>
        <w:t>
      b. Сокращение расходов на закупки офисной бумаги на 20 %.</w:t>
      </w:r>
    </w:p>
    <w:bookmarkEnd w:id="144"/>
    <w:bookmarkStart w:name="z154" w:id="145"/>
    <w:p>
      <w:pPr>
        <w:spacing w:after="0"/>
        <w:ind w:left="0"/>
        <w:jc w:val="both"/>
      </w:pPr>
      <w:r>
        <w:rPr>
          <w:rFonts w:ascii="Times New Roman"/>
          <w:b w:val="false"/>
          <w:i w:val="false"/>
          <w:color w:val="000000"/>
          <w:sz w:val="28"/>
        </w:rPr>
        <w:t>
      c. Увеличение эффективности бизнес – процессов на 40 %.</w:t>
      </w:r>
    </w:p>
    <w:bookmarkEnd w:id="145"/>
    <w:bookmarkStart w:name="z155" w:id="146"/>
    <w:p>
      <w:pPr>
        <w:spacing w:after="0"/>
        <w:ind w:left="0"/>
        <w:jc w:val="both"/>
      </w:pPr>
      <w:r>
        <w:rPr>
          <w:rFonts w:ascii="Times New Roman"/>
          <w:b w:val="false"/>
          <w:i w:val="false"/>
          <w:color w:val="000000"/>
          <w:sz w:val="28"/>
        </w:rPr>
        <w:t>
      2. Внедрение системы обслуживания, ориентированного на наде жность (RCM)</w:t>
      </w:r>
    </w:p>
    <w:bookmarkEnd w:id="146"/>
    <w:bookmarkStart w:name="z156" w:id="147"/>
    <w:p>
      <w:pPr>
        <w:spacing w:after="0"/>
        <w:ind w:left="0"/>
        <w:jc w:val="both"/>
      </w:pPr>
      <w:r>
        <w:rPr>
          <w:rFonts w:ascii="Times New Roman"/>
          <w:b w:val="false"/>
          <w:i w:val="false"/>
          <w:color w:val="000000"/>
          <w:sz w:val="28"/>
        </w:rPr>
        <w:t>
      По итогам внедрения получены следующие положительные эффекты:</w:t>
      </w:r>
    </w:p>
    <w:bookmarkEnd w:id="147"/>
    <w:bookmarkStart w:name="z157" w:id="148"/>
    <w:p>
      <w:pPr>
        <w:spacing w:after="0"/>
        <w:ind w:left="0"/>
        <w:jc w:val="both"/>
      </w:pPr>
      <w:r>
        <w:rPr>
          <w:rFonts w:ascii="Times New Roman"/>
          <w:b w:val="false"/>
          <w:i w:val="false"/>
          <w:color w:val="000000"/>
          <w:sz w:val="28"/>
        </w:rPr>
        <w:t>
      a. Организация на веб-сайте Общества, по адресу rcm.qazexpocongress.kz единого, онлайн окна для приема заявок на обслуживание, что сократило время реакции и исполнения поступающих заявок на 60 %.</w:t>
      </w:r>
    </w:p>
    <w:bookmarkEnd w:id="148"/>
    <w:bookmarkStart w:name="z158" w:id="149"/>
    <w:p>
      <w:pPr>
        <w:spacing w:after="0"/>
        <w:ind w:left="0"/>
        <w:jc w:val="both"/>
      </w:pPr>
      <w:r>
        <w:rPr>
          <w:rFonts w:ascii="Times New Roman"/>
          <w:b w:val="false"/>
          <w:i w:val="false"/>
          <w:color w:val="000000"/>
          <w:sz w:val="28"/>
        </w:rPr>
        <w:t>
      b. Контроль мониторинга движения ТМЦ в режиме реального времени, что в свою очередь снижает риски утерь или кражи ТМЦ Общества.</w:t>
      </w:r>
    </w:p>
    <w:bookmarkEnd w:id="149"/>
    <w:bookmarkStart w:name="z159" w:id="150"/>
    <w:p>
      <w:pPr>
        <w:spacing w:after="0"/>
        <w:ind w:left="0"/>
        <w:jc w:val="both"/>
      </w:pPr>
      <w:r>
        <w:rPr>
          <w:rFonts w:ascii="Times New Roman"/>
          <w:b w:val="false"/>
          <w:i w:val="false"/>
          <w:color w:val="000000"/>
          <w:sz w:val="28"/>
        </w:rPr>
        <w:t>
      3. Интеграция FACE ID с системой контроля и управления доступом (СКУД).</w:t>
      </w:r>
    </w:p>
    <w:bookmarkEnd w:id="150"/>
    <w:bookmarkStart w:name="z160" w:id="151"/>
    <w:p>
      <w:pPr>
        <w:spacing w:after="0"/>
        <w:ind w:left="0"/>
        <w:jc w:val="both"/>
      </w:pPr>
      <w:r>
        <w:rPr>
          <w:rFonts w:ascii="Times New Roman"/>
          <w:b w:val="false"/>
          <w:i w:val="false"/>
          <w:color w:val="000000"/>
          <w:sz w:val="28"/>
        </w:rPr>
        <w:t>
      Данное нововведение дало следующие положительные эффекты:</w:t>
      </w:r>
    </w:p>
    <w:bookmarkEnd w:id="151"/>
    <w:bookmarkStart w:name="z161" w:id="152"/>
    <w:p>
      <w:pPr>
        <w:spacing w:after="0"/>
        <w:ind w:left="0"/>
        <w:jc w:val="both"/>
      </w:pPr>
      <w:r>
        <w:rPr>
          <w:rFonts w:ascii="Times New Roman"/>
          <w:b w:val="false"/>
          <w:i w:val="false"/>
          <w:color w:val="000000"/>
          <w:sz w:val="28"/>
        </w:rPr>
        <w:t>
      a. Осуществление входа/выхода сотрудников по идентификации лица, а также исключение из оборота электронных карт доступа и несанкционированной передачи карт для прохода третьих лиц.</w:t>
      </w:r>
    </w:p>
    <w:bookmarkEnd w:id="152"/>
    <w:bookmarkStart w:name="z162" w:id="153"/>
    <w:p>
      <w:pPr>
        <w:spacing w:after="0"/>
        <w:ind w:left="0"/>
        <w:jc w:val="both"/>
      </w:pPr>
      <w:r>
        <w:rPr>
          <w:rFonts w:ascii="Times New Roman"/>
          <w:b w:val="false"/>
          <w:i w:val="false"/>
          <w:color w:val="000000"/>
          <w:sz w:val="28"/>
        </w:rPr>
        <w:t>
      b. Локальная база лиц позволила избежать утечку личных данных сотрудников, тем самым увеличив уровень безопасности объекта в целом.</w:t>
      </w:r>
    </w:p>
    <w:bookmarkEnd w:id="153"/>
    <w:bookmarkStart w:name="z163" w:id="154"/>
    <w:p>
      <w:pPr>
        <w:spacing w:after="0"/>
        <w:ind w:left="0"/>
        <w:jc w:val="both"/>
      </w:pPr>
      <w:r>
        <w:rPr>
          <w:rFonts w:ascii="Times New Roman"/>
          <w:b w:val="false"/>
          <w:i w:val="false"/>
          <w:color w:val="000000"/>
          <w:sz w:val="28"/>
        </w:rPr>
        <w:t>
      4. Автоматизация парковочного пространства, предусматривающая следующие положительные эффекты:</w:t>
      </w:r>
    </w:p>
    <w:bookmarkEnd w:id="154"/>
    <w:bookmarkStart w:name="z164" w:id="155"/>
    <w:p>
      <w:pPr>
        <w:spacing w:after="0"/>
        <w:ind w:left="0"/>
        <w:jc w:val="both"/>
      </w:pPr>
      <w:r>
        <w:rPr>
          <w:rFonts w:ascii="Times New Roman"/>
          <w:b w:val="false"/>
          <w:i w:val="false"/>
          <w:color w:val="000000"/>
          <w:sz w:val="28"/>
        </w:rPr>
        <w:t>
      a. Увеличение дохода Общества.</w:t>
      </w:r>
    </w:p>
    <w:bookmarkEnd w:id="155"/>
    <w:bookmarkStart w:name="z165" w:id="156"/>
    <w:p>
      <w:pPr>
        <w:spacing w:after="0"/>
        <w:ind w:left="0"/>
        <w:jc w:val="both"/>
      </w:pPr>
      <w:r>
        <w:rPr>
          <w:rFonts w:ascii="Times New Roman"/>
          <w:b w:val="false"/>
          <w:i w:val="false"/>
          <w:color w:val="000000"/>
          <w:sz w:val="28"/>
        </w:rPr>
        <w:t>
      b. Исключение человеческого фактора при оплате на 100 %.</w:t>
      </w:r>
    </w:p>
    <w:bookmarkEnd w:id="156"/>
    <w:bookmarkStart w:name="z166" w:id="157"/>
    <w:p>
      <w:pPr>
        <w:spacing w:after="0"/>
        <w:ind w:left="0"/>
        <w:jc w:val="both"/>
      </w:pPr>
      <w:r>
        <w:rPr>
          <w:rFonts w:ascii="Times New Roman"/>
          <w:b w:val="false"/>
          <w:i w:val="false"/>
          <w:color w:val="000000"/>
          <w:sz w:val="28"/>
        </w:rPr>
        <w:t>
      c. Увеличение пропускной способности парковочного пространства Общества на 70 %.</w:t>
      </w:r>
    </w:p>
    <w:bookmarkEnd w:id="157"/>
    <w:bookmarkStart w:name="z167" w:id="158"/>
    <w:p>
      <w:pPr>
        <w:spacing w:after="0"/>
        <w:ind w:left="0"/>
        <w:jc w:val="both"/>
      </w:pPr>
      <w:r>
        <w:rPr>
          <w:rFonts w:ascii="Times New Roman"/>
          <w:b w:val="false"/>
          <w:i w:val="false"/>
          <w:color w:val="000000"/>
          <w:sz w:val="28"/>
        </w:rPr>
        <w:t>
      5. Автоматизация бизнес-процессов Общества, по итогам реализации получены следующие положительные эффекты:</w:t>
      </w:r>
    </w:p>
    <w:bookmarkEnd w:id="158"/>
    <w:bookmarkStart w:name="z168" w:id="159"/>
    <w:p>
      <w:pPr>
        <w:spacing w:after="0"/>
        <w:ind w:left="0"/>
        <w:jc w:val="both"/>
      </w:pPr>
      <w:r>
        <w:rPr>
          <w:rFonts w:ascii="Times New Roman"/>
          <w:b w:val="false"/>
          <w:i w:val="false"/>
          <w:color w:val="000000"/>
          <w:sz w:val="28"/>
        </w:rPr>
        <w:t>
      a. Минимизация рисков и человеческого фактора.</w:t>
      </w:r>
    </w:p>
    <w:bookmarkEnd w:id="159"/>
    <w:bookmarkStart w:name="z169" w:id="160"/>
    <w:p>
      <w:pPr>
        <w:spacing w:after="0"/>
        <w:ind w:left="0"/>
        <w:jc w:val="both"/>
      </w:pPr>
      <w:r>
        <w:rPr>
          <w:rFonts w:ascii="Times New Roman"/>
          <w:b w:val="false"/>
          <w:i w:val="false"/>
          <w:color w:val="000000"/>
          <w:sz w:val="28"/>
        </w:rPr>
        <w:t>
      b. Сокращение времени на обработку и согласование документов.</w:t>
      </w:r>
    </w:p>
    <w:bookmarkEnd w:id="160"/>
    <w:bookmarkStart w:name="z170" w:id="161"/>
    <w:p>
      <w:pPr>
        <w:spacing w:after="0"/>
        <w:ind w:left="0"/>
        <w:jc w:val="both"/>
      </w:pPr>
      <w:r>
        <w:rPr>
          <w:rFonts w:ascii="Times New Roman"/>
          <w:b w:val="false"/>
          <w:i w:val="false"/>
          <w:color w:val="000000"/>
          <w:sz w:val="28"/>
        </w:rPr>
        <w:t>
      c. Прозрачный мониторинг KPI сотрудника по исполнению задач.</w:t>
      </w:r>
    </w:p>
    <w:bookmarkEnd w:id="161"/>
    <w:bookmarkStart w:name="z171" w:id="162"/>
    <w:p>
      <w:pPr>
        <w:spacing w:after="0"/>
        <w:ind w:left="0"/>
        <w:jc w:val="both"/>
      </w:pPr>
      <w:r>
        <w:rPr>
          <w:rFonts w:ascii="Times New Roman"/>
          <w:b w:val="false"/>
          <w:i w:val="false"/>
          <w:color w:val="000000"/>
          <w:sz w:val="28"/>
        </w:rPr>
        <w:t>
      d. Повышение эффективности управления и формирования отче тности.</w:t>
      </w:r>
    </w:p>
    <w:bookmarkEnd w:id="162"/>
    <w:bookmarkStart w:name="z172" w:id="163"/>
    <w:p>
      <w:pPr>
        <w:spacing w:after="0"/>
        <w:ind w:left="0"/>
        <w:jc w:val="both"/>
      </w:pPr>
      <w:r>
        <w:rPr>
          <w:rFonts w:ascii="Times New Roman"/>
          <w:b w:val="false"/>
          <w:i w:val="false"/>
          <w:color w:val="000000"/>
          <w:sz w:val="28"/>
        </w:rPr>
        <w:t>
      Проведенная Обществом работа по цифровизации и автоматизации бизнес-процессов способствовала сокращению расходов, увеличению доходов и повышению общей эффективности деятельности Общества.</w:t>
      </w:r>
    </w:p>
    <w:bookmarkEnd w:id="163"/>
    <w:bookmarkStart w:name="z173" w:id="1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SWOT-анализ существующих и потенциальных угроз и рисков, определение возможностей для достижения целей Общества </w:t>
      </w:r>
    </w:p>
    <w:bookmarkEnd w:id="164"/>
    <w:bookmarkStart w:name="z174" w:id="165"/>
    <w:p>
      <w:pPr>
        <w:spacing w:after="0"/>
        <w:ind w:left="0"/>
        <w:jc w:val="both"/>
      </w:pPr>
      <w:r>
        <w:rPr>
          <w:rFonts w:ascii="Times New Roman"/>
          <w:b w:val="false"/>
          <w:i w:val="false"/>
          <w:color w:val="000000"/>
          <w:sz w:val="28"/>
        </w:rPr>
        <w:t>
      SWOT-анализ деятельности Общества учитывает сильные и слабые стороны, а также возможности и угрозы. Результатом анализа стали дальнейшие возможные направления деятельности компании.</w:t>
      </w:r>
    </w:p>
    <w:bookmarkEnd w:id="165"/>
    <w:bookmarkStart w:name="z175" w:id="166"/>
    <w:p>
      <w:pPr>
        <w:spacing w:after="0"/>
        <w:ind w:left="0"/>
        <w:jc w:val="both"/>
      </w:pPr>
      <w:r>
        <w:rPr>
          <w:rFonts w:ascii="Times New Roman"/>
          <w:b w:val="false"/>
          <w:i w:val="false"/>
          <w:color w:val="000000"/>
          <w:sz w:val="28"/>
        </w:rPr>
        <w:t>
      Таблица 3. SWOT-анализ Общества</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7"/>
          <w:p>
            <w:pPr>
              <w:spacing w:after="20"/>
              <w:ind w:left="20"/>
              <w:jc w:val="both"/>
            </w:pPr>
            <w:r>
              <w:rPr>
                <w:rFonts w:ascii="Times New Roman"/>
                <w:b w:val="false"/>
                <w:i w:val="false"/>
                <w:color w:val="000000"/>
                <w:sz w:val="20"/>
              </w:rPr>
              <w:t>
› Главный оператор государства по проведению имиджевых международных КВМ</w:t>
            </w:r>
          </w:p>
          <w:bookmarkEnd w:id="167"/>
          <w:bookmarkStart w:name="z177" w:id="168"/>
          <w:p>
            <w:pPr>
              <w:spacing w:after="20"/>
              <w:ind w:left="20"/>
              <w:jc w:val="both"/>
            </w:pPr>
            <w:r>
              <w:rPr>
                <w:rFonts w:ascii="Times New Roman"/>
                <w:b w:val="false"/>
                <w:i w:val="false"/>
                <w:color w:val="000000"/>
                <w:sz w:val="20"/>
              </w:rPr>
              <w:t>
› Ключевой центр развития MICE-туризма</w:t>
            </w:r>
          </w:p>
          <w:bookmarkEnd w:id="168"/>
          <w:bookmarkStart w:name="z178" w:id="169"/>
          <w:p>
            <w:pPr>
              <w:spacing w:after="20"/>
              <w:ind w:left="20"/>
              <w:jc w:val="both"/>
            </w:pPr>
            <w:r>
              <w:rPr>
                <w:rFonts w:ascii="Times New Roman"/>
                <w:b w:val="false"/>
                <w:i w:val="false"/>
                <w:color w:val="000000"/>
                <w:sz w:val="20"/>
              </w:rPr>
              <w:t>
› Дальнейшее развитие территории и делового центра EXPO</w:t>
            </w:r>
          </w:p>
          <w:bookmarkEnd w:id="169"/>
          <w:bookmarkStart w:name="z179" w:id="170"/>
          <w:p>
            <w:pPr>
              <w:spacing w:after="20"/>
              <w:ind w:left="20"/>
              <w:jc w:val="both"/>
            </w:pPr>
            <w:r>
              <w:rPr>
                <w:rFonts w:ascii="Times New Roman"/>
                <w:b w:val="false"/>
                <w:i w:val="false"/>
                <w:color w:val="000000"/>
                <w:sz w:val="20"/>
              </w:rPr>
              <w:t>
› Коммерциализация активов</w:t>
            </w:r>
          </w:p>
          <w:bookmarkEnd w:id="170"/>
          <w:p>
            <w:pPr>
              <w:spacing w:after="20"/>
              <w:ind w:left="20"/>
              <w:jc w:val="both"/>
            </w:pPr>
            <w:r>
              <w:rPr>
                <w:rFonts w:ascii="Times New Roman"/>
                <w:b w:val="false"/>
                <w:i w:val="false"/>
                <w:color w:val="000000"/>
                <w:sz w:val="20"/>
              </w:rPr>
              <w:t>
› Развитие рынка КВМ в Казахстане и г. Астане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1"/>
          <w:p>
            <w:pPr>
              <w:spacing w:after="20"/>
              <w:ind w:left="20"/>
              <w:jc w:val="both"/>
            </w:pPr>
            <w:r>
              <w:rPr>
                <w:rFonts w:ascii="Times New Roman"/>
                <w:b w:val="false"/>
                <w:i w:val="false"/>
                <w:color w:val="000000"/>
                <w:sz w:val="20"/>
              </w:rPr>
              <w:t>
› Зависимость от якорных арендаторов</w:t>
            </w:r>
          </w:p>
          <w:bookmarkEnd w:id="171"/>
          <w:bookmarkStart w:name="z181" w:id="172"/>
          <w:p>
            <w:pPr>
              <w:spacing w:after="20"/>
              <w:ind w:left="20"/>
              <w:jc w:val="both"/>
            </w:pPr>
            <w:r>
              <w:rPr>
                <w:rFonts w:ascii="Times New Roman"/>
                <w:b w:val="false"/>
                <w:i w:val="false"/>
                <w:color w:val="000000"/>
                <w:sz w:val="20"/>
              </w:rPr>
              <w:t>
› Нестабильные геополитические ситуации в мире</w:t>
            </w:r>
          </w:p>
          <w:bookmarkEnd w:id="172"/>
          <w:bookmarkStart w:name="z182" w:id="173"/>
          <w:p>
            <w:pPr>
              <w:spacing w:after="20"/>
              <w:ind w:left="20"/>
              <w:jc w:val="both"/>
            </w:pPr>
            <w:r>
              <w:rPr>
                <w:rFonts w:ascii="Times New Roman"/>
                <w:b w:val="false"/>
                <w:i w:val="false"/>
                <w:color w:val="000000"/>
                <w:sz w:val="20"/>
              </w:rPr>
              <w:t>
› Пандемия и другое</w:t>
            </w:r>
          </w:p>
          <w:bookmarkEnd w:id="173"/>
          <w:bookmarkStart w:name="z183" w:id="174"/>
          <w:p>
            <w:pPr>
              <w:spacing w:after="20"/>
              <w:ind w:left="20"/>
              <w:jc w:val="both"/>
            </w:pPr>
            <w:r>
              <w:rPr>
                <w:rFonts w:ascii="Times New Roman"/>
                <w:b w:val="false"/>
                <w:i w:val="false"/>
                <w:color w:val="000000"/>
                <w:sz w:val="20"/>
              </w:rPr>
              <w:t>
› Наличие конкурентных площадок по КВМ</w:t>
            </w:r>
          </w:p>
          <w:bookmarkEnd w:id="174"/>
          <w:p>
            <w:pPr>
              <w:spacing w:after="20"/>
              <w:ind w:left="20"/>
              <w:jc w:val="both"/>
            </w:pPr>
            <w:r>
              <w:rPr>
                <w:rFonts w:ascii="Times New Roman"/>
                <w:b w:val="false"/>
                <w:i w:val="false"/>
                <w:color w:val="000000"/>
                <w:sz w:val="20"/>
              </w:rPr>
              <w:t>
› Низкий спрос на коммерческую недвижимость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5"/>
          <w:p>
            <w:pPr>
              <w:spacing w:after="20"/>
              <w:ind w:left="20"/>
              <w:jc w:val="both"/>
            </w:pPr>
            <w:r>
              <w:rPr>
                <w:rFonts w:ascii="Times New Roman"/>
                <w:b w:val="false"/>
                <w:i w:val="false"/>
                <w:color w:val="000000"/>
                <w:sz w:val="20"/>
              </w:rPr>
              <w:t>
› Крупные активы с развитой инфраструктурой (офисы, площадки для проведения КВМ: БЦ, КЦ, МВЦ "EXPO")</w:t>
            </w:r>
          </w:p>
          <w:bookmarkEnd w:id="175"/>
          <w:bookmarkStart w:name="z185" w:id="176"/>
          <w:p>
            <w:pPr>
              <w:spacing w:after="20"/>
              <w:ind w:left="20"/>
              <w:jc w:val="both"/>
            </w:pPr>
            <w:r>
              <w:rPr>
                <w:rFonts w:ascii="Times New Roman"/>
                <w:b w:val="false"/>
                <w:i w:val="false"/>
                <w:color w:val="000000"/>
                <w:sz w:val="20"/>
              </w:rPr>
              <w:t>
› Высокая загрузка офисной недвижимости класса "А" в г. Астане (якорные арендаторы)</w:t>
            </w:r>
          </w:p>
          <w:bookmarkEnd w:id="176"/>
          <w:bookmarkStart w:name="z186" w:id="177"/>
          <w:p>
            <w:pPr>
              <w:spacing w:after="20"/>
              <w:ind w:left="20"/>
              <w:jc w:val="both"/>
            </w:pPr>
            <w:r>
              <w:rPr>
                <w:rFonts w:ascii="Times New Roman"/>
                <w:b w:val="false"/>
                <w:i w:val="false"/>
                <w:color w:val="000000"/>
                <w:sz w:val="20"/>
              </w:rPr>
              <w:t>
› Опыт проведения и участия в EXPO и других крупных международных КВМ</w:t>
            </w:r>
          </w:p>
          <w:bookmarkEnd w:id="177"/>
          <w:bookmarkStart w:name="z187" w:id="178"/>
          <w:p>
            <w:pPr>
              <w:spacing w:after="20"/>
              <w:ind w:left="20"/>
              <w:jc w:val="both"/>
            </w:pPr>
            <w:r>
              <w:rPr>
                <w:rFonts w:ascii="Times New Roman"/>
                <w:b w:val="false"/>
                <w:i w:val="false"/>
                <w:color w:val="000000"/>
                <w:sz w:val="20"/>
              </w:rPr>
              <w:t>
›  Наличие позитивного имиджа и международных связей</w:t>
            </w:r>
          </w:p>
          <w:bookmarkEnd w:id="178"/>
          <w:p>
            <w:pPr>
              <w:spacing w:after="20"/>
              <w:ind w:left="20"/>
              <w:jc w:val="both"/>
            </w:pPr>
            <w:r>
              <w:rPr>
                <w:rFonts w:ascii="Times New Roman"/>
                <w:b w:val="false"/>
                <w:i w:val="false"/>
                <w:color w:val="000000"/>
                <w:sz w:val="20"/>
              </w:rPr>
              <w:t>
› Налаженные контакты с заинтересованными сторонами Общества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9"/>
          <w:p>
            <w:pPr>
              <w:spacing w:after="20"/>
              <w:ind w:left="20"/>
              <w:jc w:val="both"/>
            </w:pPr>
            <w:r>
              <w:rPr>
                <w:rFonts w:ascii="Times New Roman"/>
                <w:b w:val="false"/>
                <w:i w:val="false"/>
                <w:color w:val="000000"/>
                <w:sz w:val="20"/>
              </w:rPr>
              <w:t>
› Регуляторное ограничение видов деятельности в связи с принципами "yellow pages"</w:t>
            </w:r>
          </w:p>
          <w:bookmarkEnd w:id="179"/>
          <w:bookmarkStart w:name="z189" w:id="180"/>
          <w:p>
            <w:pPr>
              <w:spacing w:after="20"/>
              <w:ind w:left="20"/>
              <w:jc w:val="both"/>
            </w:pPr>
            <w:r>
              <w:rPr>
                <w:rFonts w:ascii="Times New Roman"/>
                <w:b w:val="false"/>
                <w:i w:val="false"/>
                <w:color w:val="000000"/>
                <w:sz w:val="20"/>
              </w:rPr>
              <w:t>
› Высокий уровень операционных затрат на содержание объектов ЕХРО</w:t>
            </w:r>
          </w:p>
          <w:bookmarkEnd w:id="180"/>
          <w:bookmarkStart w:name="z190" w:id="181"/>
          <w:p>
            <w:pPr>
              <w:spacing w:after="20"/>
              <w:ind w:left="20"/>
              <w:jc w:val="both"/>
            </w:pPr>
            <w:r>
              <w:rPr>
                <w:rFonts w:ascii="Times New Roman"/>
                <w:b w:val="false"/>
                <w:i w:val="false"/>
                <w:color w:val="000000"/>
                <w:sz w:val="20"/>
              </w:rPr>
              <w:t>
› Естественный износ объектов</w:t>
            </w:r>
          </w:p>
          <w:bookmarkEnd w:id="181"/>
          <w:p>
            <w:pPr>
              <w:spacing w:after="20"/>
              <w:ind w:left="20"/>
              <w:jc w:val="both"/>
            </w:pPr>
          </w:p>
          <w:p>
            <w:pPr>
              <w:spacing w:after="20"/>
              <w:ind w:left="20"/>
              <w:jc w:val="both"/>
            </w:pPr>
          </w:p>
        </w:tc>
      </w:tr>
    </w:tbl>
    <w:bookmarkStart w:name="z191" w:id="182"/>
    <w:p>
      <w:pPr>
        <w:spacing w:after="0"/>
        <w:ind w:left="0"/>
        <w:jc w:val="both"/>
      </w:pPr>
      <w:r>
        <w:rPr>
          <w:rFonts w:ascii="Times New Roman"/>
          <w:b w:val="false"/>
          <w:i w:val="false"/>
          <w:color w:val="000000"/>
          <w:sz w:val="28"/>
        </w:rPr>
        <w:t>
      Ключевые выводы по анализу текущего состояния внутренней среды</w:t>
      </w:r>
    </w:p>
    <w:bookmarkEnd w:id="182"/>
    <w:bookmarkStart w:name="z192" w:id="183"/>
    <w:p>
      <w:pPr>
        <w:spacing w:after="0"/>
        <w:ind w:left="0"/>
        <w:jc w:val="both"/>
      </w:pPr>
      <w:r>
        <w:rPr>
          <w:rFonts w:ascii="Times New Roman"/>
          <w:b w:val="false"/>
          <w:i w:val="false"/>
          <w:color w:val="000000"/>
          <w:sz w:val="28"/>
        </w:rPr>
        <w:t>
      Из анализа текущего состояния внутренней среды следует подчеркнуть, что Общество принимает на себя активную роль в современном бизнес-пространстве, стремясь к устойчивому и инновационному развитию. Первым важным шагом в этом направлении является дальнейшее развитие территории EXPO в качестве ключевого центра для развития секторов информационных технологий, финансовой сферы, а также MICE-туризма. Тем самым Общество укрепит свои позиции на рынке и обеспечит содействие устойчивому экономическому росту страны.</w:t>
      </w:r>
    </w:p>
    <w:bookmarkEnd w:id="183"/>
    <w:bookmarkStart w:name="z193" w:id="184"/>
    <w:p>
      <w:pPr>
        <w:spacing w:after="0"/>
        <w:ind w:left="0"/>
        <w:jc w:val="both"/>
      </w:pPr>
      <w:r>
        <w:rPr>
          <w:rFonts w:ascii="Times New Roman"/>
          <w:b w:val="false"/>
          <w:i w:val="false"/>
          <w:color w:val="000000"/>
          <w:sz w:val="28"/>
        </w:rPr>
        <w:t>
      Однако для гарантирования долгосрочной конкурентоспособности необходимо постоянное обновление производственных ресурсов. Внедрение современных цифровых технологий поможет оптимизировать использование природных ресурсов и повысить энергоэффективность объектов EXPO, что станет ключевым фактором успешного развития в будущем.</w:t>
      </w:r>
    </w:p>
    <w:bookmarkEnd w:id="184"/>
    <w:bookmarkStart w:name="z194" w:id="185"/>
    <w:p>
      <w:pPr>
        <w:spacing w:after="0"/>
        <w:ind w:left="0"/>
        <w:jc w:val="both"/>
      </w:pPr>
      <w:r>
        <w:rPr>
          <w:rFonts w:ascii="Times New Roman"/>
          <w:b w:val="false"/>
          <w:i w:val="false"/>
          <w:color w:val="000000"/>
          <w:sz w:val="28"/>
        </w:rPr>
        <w:t>
      Экономический кризис, вызванный пандемией и санкционными ограничениями, выявил финансовую уязвимость Общества, в связи с чем необходимо принятие мер по укреплению финансовой устойчивости в целях успешного преодоления внешних и внутренних вызовов и обеспечения стабильного развития.</w:t>
      </w:r>
    </w:p>
    <w:bookmarkEnd w:id="185"/>
    <w:p>
      <w:pPr>
        <w:spacing w:after="0"/>
        <w:ind w:left="0"/>
        <w:jc w:val="both"/>
      </w:pPr>
      <w:bookmarkStart w:name="z195" w:id="186"/>
      <w:r>
        <w:rPr>
          <w:rFonts w:ascii="Times New Roman"/>
          <w:b w:val="false"/>
          <w:i w:val="false"/>
          <w:color w:val="000000"/>
          <w:sz w:val="28"/>
        </w:rPr>
        <w:t xml:space="preserve">
      Особое внимание уделяется улучшению системы корпоративного управления с учетом принципов прозрачности и применения передовых </w:t>
      </w:r>
    </w:p>
    <w:bookmarkEnd w:id="186"/>
    <w:p>
      <w:pPr>
        <w:spacing w:after="0"/>
        <w:ind w:left="0"/>
        <w:jc w:val="both"/>
      </w:pPr>
      <w:r>
        <w:rPr>
          <w:rFonts w:ascii="Times New Roman"/>
          <w:b w:val="false"/>
          <w:i w:val="false"/>
          <w:color w:val="000000"/>
          <w:sz w:val="28"/>
        </w:rPr>
        <w:t>ESG-практик. Данный подход поможет Обществу эффективно управлять своими ресурсами и достигать поставленных целей в соответствии с международными стандартами.</w:t>
      </w:r>
    </w:p>
    <w:bookmarkStart w:name="z196" w:id="187"/>
    <w:p>
      <w:pPr>
        <w:spacing w:after="0"/>
        <w:ind w:left="0"/>
        <w:jc w:val="both"/>
      </w:pPr>
      <w:r>
        <w:rPr>
          <w:rFonts w:ascii="Times New Roman"/>
          <w:b w:val="false"/>
          <w:i w:val="false"/>
          <w:color w:val="000000"/>
          <w:sz w:val="28"/>
        </w:rPr>
        <w:t>
      Дальнейшее развитие человеческого капитала и повышение компетенций сотрудников являются основой для достижения успеха, что позволит Обществу стать ведущим оператором в организации международных мероприятий и укрепить свои позиции на рынке.</w:t>
      </w:r>
    </w:p>
    <w:bookmarkEnd w:id="187"/>
    <w:bookmarkStart w:name="z197" w:id="188"/>
    <w:p>
      <w:pPr>
        <w:spacing w:after="0"/>
        <w:ind w:left="0"/>
        <w:jc w:val="both"/>
      </w:pPr>
      <w:r>
        <w:rPr>
          <w:rFonts w:ascii="Times New Roman"/>
          <w:b w:val="false"/>
          <w:i w:val="false"/>
          <w:color w:val="000000"/>
          <w:sz w:val="28"/>
        </w:rPr>
        <w:t>
      Наконец, цифровизация и автоматизация бизнес-процессов являются необходимыми шагами для повышения эффективности работы. Улучшение IT инфраструктуры и адаптация информационных систем к меняющимся условиям помогут Обществу успешно реализовывать свои стратегические цели и задачи в динамичной бизнес-среде.</w:t>
      </w:r>
    </w:p>
    <w:bookmarkEnd w:id="188"/>
    <w:p>
      <w:pPr>
        <w:spacing w:after="0"/>
        <w:ind w:left="0"/>
        <w:jc w:val="both"/>
      </w:pPr>
      <w:r>
        <w:rPr>
          <w:rFonts w:ascii="Times New Roman"/>
          <w:b/>
          <w:i w:val="false"/>
          <w:color w:val="000000"/>
          <w:sz w:val="28"/>
        </w:rPr>
        <w:t>2. Миссия и видение</w:t>
      </w:r>
    </w:p>
    <w:bookmarkStart w:name="z199" w:id="189"/>
    <w:p>
      <w:pPr>
        <w:spacing w:after="0"/>
        <w:ind w:left="0"/>
        <w:jc w:val="both"/>
      </w:pPr>
      <w:r>
        <w:rPr>
          <w:rFonts w:ascii="Times New Roman"/>
          <w:b w:val="false"/>
          <w:i w:val="false"/>
          <w:color w:val="000000"/>
          <w:sz w:val="28"/>
        </w:rPr>
        <w:t>
      Исходя из необходимости обеспечения качественного социально-экономического развития Казахстана и реализации своей роли как управляющей компании по созданию, сохранению и развитию инновационной инфраструктуры и объектов на территории EXPO, а также создания устойчивой к глобальным вызовам бизнес-модели, Общество определяет для себя следующие миссию и видение.</w:t>
      </w:r>
    </w:p>
    <w:bookmarkEnd w:id="189"/>
    <w:bookmarkStart w:name="z200" w:id="190"/>
    <w:p>
      <w:pPr>
        <w:spacing w:after="0"/>
        <w:ind w:left="0"/>
        <w:jc w:val="both"/>
      </w:pPr>
      <w:r>
        <w:rPr>
          <w:rFonts w:ascii="Times New Roman"/>
          <w:b w:val="false"/>
          <w:i w:val="false"/>
          <w:color w:val="000000"/>
          <w:sz w:val="28"/>
        </w:rPr>
        <w:t>
      На сегодняшний день миссия Общества в создании современного делового пространства, продвигающего передовые практики в сфере финансовой, образовательной, конгрессно-выставочной, инновационной деятельности и развитии торговой инфраструктуры в Казахстане, выполнена.</w:t>
      </w:r>
    </w:p>
    <w:bookmarkEnd w:id="190"/>
    <w:bookmarkStart w:name="z201" w:id="191"/>
    <w:p>
      <w:pPr>
        <w:spacing w:after="0"/>
        <w:ind w:left="0"/>
        <w:jc w:val="both"/>
      </w:pPr>
      <w:r>
        <w:rPr>
          <w:rFonts w:ascii="Times New Roman"/>
          <w:b w:val="false"/>
          <w:i w:val="false"/>
          <w:color w:val="000000"/>
          <w:sz w:val="28"/>
        </w:rPr>
        <w:t>
      Новая миссия Общества будет заключаться в продвижении положительного имиджа Республики Казахстан и содействии ее торгово-экономическим связям на мировых выставочных объектах EXPO, а также предоставлении экологичных, комфортных и безопасных помещений, павильонов и конгрессно-выставочных площадок для развития бизнеса и делового туризма в Казахстане.</w:t>
      </w:r>
    </w:p>
    <w:bookmarkEnd w:id="191"/>
    <w:bookmarkStart w:name="z202" w:id="192"/>
    <w:p>
      <w:pPr>
        <w:spacing w:after="0"/>
        <w:ind w:left="0"/>
        <w:jc w:val="both"/>
      </w:pPr>
      <w:r>
        <w:rPr>
          <w:rFonts w:ascii="Times New Roman"/>
          <w:b w:val="false"/>
          <w:i w:val="false"/>
          <w:color w:val="000000"/>
          <w:sz w:val="28"/>
        </w:rPr>
        <w:t>
      Согласно видению в стратегической перспективе Общество к 2034 году станет конкурентной и финансово устойчивой компанией, содействующей международной экономической интеграции, с предоставлением необходимой инфраструктуры и услуг на государственном и международном уровнях для развития MICE-туризма. Территория делового центра EXPO станет престижным местом для ведения бизнеса и развития делового туризма, экологичным и безопасным для проведения досуга жителей и гостей столицы.</w:t>
      </w:r>
    </w:p>
    <w:bookmarkEnd w:id="192"/>
    <w:bookmarkStart w:name="z203" w:id="193"/>
    <w:p>
      <w:pPr>
        <w:spacing w:after="0"/>
        <w:ind w:left="0"/>
        <w:jc w:val="both"/>
      </w:pPr>
      <w:r>
        <w:rPr>
          <w:rFonts w:ascii="Times New Roman"/>
          <w:b w:val="false"/>
          <w:i w:val="false"/>
          <w:color w:val="000000"/>
          <w:sz w:val="28"/>
        </w:rPr>
        <w:t>
      Согласно уставу приоритетными направлениями деятельности Общества остаются эксплуатация и использование объектов после завершения Международной специализированной выставки EXPO-2017:</w:t>
      </w:r>
    </w:p>
    <w:bookmarkEnd w:id="193"/>
    <w:bookmarkStart w:name="z204" w:id="194"/>
    <w:p>
      <w:pPr>
        <w:spacing w:after="0"/>
        <w:ind w:left="0"/>
        <w:jc w:val="both"/>
      </w:pPr>
      <w:r>
        <w:rPr>
          <w:rFonts w:ascii="Times New Roman"/>
          <w:b w:val="false"/>
          <w:i w:val="false"/>
          <w:color w:val="000000"/>
          <w:sz w:val="28"/>
        </w:rPr>
        <w:t>
      1) послевыставочное использование территории международной специализированной выставки EXPO-2017 путем аренды и управления собственной недвижимостью Общества;</w:t>
      </w:r>
    </w:p>
    <w:bookmarkEnd w:id="194"/>
    <w:bookmarkStart w:name="z205" w:id="195"/>
    <w:p>
      <w:pPr>
        <w:spacing w:after="0"/>
        <w:ind w:left="0"/>
        <w:jc w:val="both"/>
      </w:pPr>
      <w:r>
        <w:rPr>
          <w:rFonts w:ascii="Times New Roman"/>
          <w:b w:val="false"/>
          <w:i w:val="false"/>
          <w:color w:val="000000"/>
          <w:sz w:val="28"/>
        </w:rPr>
        <w:t xml:space="preserve">
      2) проведение и организация конгрессно-выставочных, торгово-выставочных мероприятий на территории Республики Казахстан и за ее пределами; </w:t>
      </w:r>
    </w:p>
    <w:bookmarkEnd w:id="195"/>
    <w:bookmarkStart w:name="z206" w:id="196"/>
    <w:p>
      <w:pPr>
        <w:spacing w:after="0"/>
        <w:ind w:left="0"/>
        <w:jc w:val="both"/>
      </w:pPr>
      <w:r>
        <w:rPr>
          <w:rFonts w:ascii="Times New Roman"/>
          <w:b w:val="false"/>
          <w:i w:val="false"/>
          <w:color w:val="000000"/>
          <w:sz w:val="28"/>
        </w:rPr>
        <w:t>
      3) аренда и эксплуатация собственной недвижимости.</w:t>
      </w:r>
    </w:p>
    <w:bookmarkEnd w:id="196"/>
    <w:bookmarkStart w:name="z207" w:id="197"/>
    <w:p>
      <w:pPr>
        <w:spacing w:after="0"/>
        <w:ind w:left="0"/>
        <w:jc w:val="both"/>
      </w:pPr>
      <w:r>
        <w:rPr>
          <w:rFonts w:ascii="Times New Roman"/>
          <w:b w:val="false"/>
          <w:i w:val="false"/>
          <w:color w:val="000000"/>
          <w:sz w:val="28"/>
        </w:rPr>
        <w:t>
      На основе обновленных миссий и видения Обществом определено три стратегических направления деятельности:</w:t>
      </w:r>
    </w:p>
    <w:bookmarkEnd w:id="197"/>
    <w:bookmarkStart w:name="z208" w:id="198"/>
    <w:p>
      <w:pPr>
        <w:spacing w:after="0"/>
        <w:ind w:left="0"/>
        <w:jc w:val="both"/>
      </w:pPr>
      <w:r>
        <w:rPr>
          <w:rFonts w:ascii="Times New Roman"/>
          <w:b w:val="false"/>
          <w:i w:val="false"/>
          <w:color w:val="000000"/>
          <w:sz w:val="28"/>
        </w:rPr>
        <w:t>
      1) содействие росту национальной экономики;</w:t>
      </w:r>
    </w:p>
    <w:bookmarkEnd w:id="198"/>
    <w:bookmarkStart w:name="z209" w:id="199"/>
    <w:p>
      <w:pPr>
        <w:spacing w:after="0"/>
        <w:ind w:left="0"/>
        <w:jc w:val="both"/>
      </w:pPr>
      <w:r>
        <w:rPr>
          <w:rFonts w:ascii="Times New Roman"/>
          <w:b w:val="false"/>
          <w:i w:val="false"/>
          <w:color w:val="000000"/>
          <w:sz w:val="28"/>
        </w:rPr>
        <w:t>
      2) эффективное управление деятельностью Общества;</w:t>
      </w:r>
    </w:p>
    <w:bookmarkEnd w:id="199"/>
    <w:bookmarkStart w:name="z210" w:id="200"/>
    <w:p>
      <w:pPr>
        <w:spacing w:after="0"/>
        <w:ind w:left="0"/>
        <w:jc w:val="both"/>
      </w:pPr>
      <w:r>
        <w:rPr>
          <w:rFonts w:ascii="Times New Roman"/>
          <w:b w:val="false"/>
          <w:i w:val="false"/>
          <w:color w:val="000000"/>
          <w:sz w:val="28"/>
        </w:rPr>
        <w:t>
      3) устойчивое развитие.</w:t>
      </w:r>
    </w:p>
    <w:bookmarkEnd w:id="200"/>
    <w:bookmarkStart w:name="z211" w:id="201"/>
    <w:p>
      <w:pPr>
        <w:spacing w:after="0"/>
        <w:ind w:left="0"/>
        <w:jc w:val="both"/>
      </w:pPr>
      <w:r>
        <w:rPr>
          <w:rFonts w:ascii="Times New Roman"/>
          <w:b w:val="false"/>
          <w:i w:val="false"/>
          <w:color w:val="000000"/>
          <w:sz w:val="28"/>
        </w:rPr>
        <w:t>
      По каждому стратегическому направлению определены стратегические цели и задачи, при достижении которых Общество сможет содействовать экономическому росту и развитию страны, улучшению благосостояния граждан, достичь финансовой устойчивости, увеличить и диверсифицировать портфель мероприятий, содействовать торгово-экономическим связям страны, достичь повышения операционной эффективности и устойчивого развития.</w:t>
      </w:r>
    </w:p>
    <w:bookmarkEnd w:id="201"/>
    <w:bookmarkStart w:name="z212" w:id="202"/>
    <w:p>
      <w:pPr>
        <w:spacing w:after="0"/>
        <w:ind w:left="0"/>
        <w:jc w:val="both"/>
      </w:pPr>
      <w:r>
        <w:rPr>
          <w:rFonts w:ascii="Times New Roman"/>
          <w:b w:val="false"/>
          <w:i w:val="false"/>
          <w:color w:val="000000"/>
          <w:sz w:val="28"/>
        </w:rPr>
        <w:t xml:space="preserve">
      </w:t>
      </w:r>
      <w:r>
        <w:rPr>
          <w:rFonts w:ascii="Times New Roman"/>
          <w:b/>
          <w:i w:val="false"/>
          <w:color w:val="000000"/>
          <w:sz w:val="28"/>
        </w:rPr>
        <w:t>Соответствие национальным интересам и государственным программам развития</w:t>
      </w:r>
    </w:p>
    <w:bookmarkEnd w:id="202"/>
    <w:bookmarkStart w:name="z213" w:id="203"/>
    <w:p>
      <w:pPr>
        <w:spacing w:after="0"/>
        <w:ind w:left="0"/>
        <w:jc w:val="both"/>
      </w:pPr>
      <w:r>
        <w:rPr>
          <w:rFonts w:ascii="Times New Roman"/>
          <w:b w:val="false"/>
          <w:i w:val="false"/>
          <w:color w:val="000000"/>
          <w:sz w:val="28"/>
        </w:rPr>
        <w:t xml:space="preserve">
      Национальные интересы страны, отраженные в Стратегии развития Казахстана до 2050 года и Национальном плане развития Республики Казахстан до 2029 года, сосредоточены на устойчивом социально-экономическом росте, инвестиционной привлекательности, а также стимулировании инноваций и высоких технологий, развитии и регулировании международных торгово-экономических отношений. </w:t>
      </w:r>
    </w:p>
    <w:bookmarkEnd w:id="203"/>
    <w:bookmarkStart w:name="z214" w:id="204"/>
    <w:p>
      <w:pPr>
        <w:spacing w:after="0"/>
        <w:ind w:left="0"/>
        <w:jc w:val="both"/>
      </w:pPr>
      <w:r>
        <w:rPr>
          <w:rFonts w:ascii="Times New Roman"/>
          <w:b w:val="false"/>
          <w:i w:val="false"/>
          <w:color w:val="000000"/>
          <w:sz w:val="28"/>
        </w:rPr>
        <w:t>
      В рамках обеспечения социально-экономического роста страны Общество декомпозировало из Национального плана развития Республики Казахстан до 2029 года конкретные экономические показатели по ВВП, а также показатели по объему инвестиций в основной капитал и производительности труда из Плана развития МТИ РК. Данные показатели отражены в первом стратегическом направлении Плана развития Общества.</w:t>
      </w:r>
    </w:p>
    <w:bookmarkEnd w:id="204"/>
    <w:bookmarkStart w:name="z215" w:id="205"/>
    <w:p>
      <w:pPr>
        <w:spacing w:after="0"/>
        <w:ind w:left="0"/>
        <w:jc w:val="both"/>
      </w:pPr>
      <w:r>
        <w:rPr>
          <w:rFonts w:ascii="Times New Roman"/>
          <w:b w:val="false"/>
          <w:i w:val="false"/>
          <w:color w:val="000000"/>
          <w:sz w:val="28"/>
        </w:rPr>
        <w:t xml:space="preserve">
      В целях содействия торгово-экономическим отношениям страны Общество предоставляет и организовывает площадки для проведения региональных, государственных и международных выставок и ярмарок, форумов и конгрессов по продвижению казахстанских товаров и услуг на государственном и мировых рынках. Стоит отметить большой успешный опыт Общества по организации и проведению международных выставок EXPO как в стране, так и за ее пределами. </w:t>
      </w:r>
    </w:p>
    <w:bookmarkEnd w:id="205"/>
    <w:bookmarkStart w:name="z216" w:id="206"/>
    <w:p>
      <w:pPr>
        <w:spacing w:after="0"/>
        <w:ind w:left="0"/>
        <w:jc w:val="both"/>
      </w:pPr>
      <w:r>
        <w:rPr>
          <w:rFonts w:ascii="Times New Roman"/>
          <w:b w:val="false"/>
          <w:i w:val="false"/>
          <w:color w:val="000000"/>
          <w:sz w:val="28"/>
        </w:rPr>
        <w:t>
      Государственные программы развития Казахстана акцентируют внимание на развитии территорий, предпринимательства, совершенствовании гендерной политики и другом.</w:t>
      </w:r>
    </w:p>
    <w:bookmarkEnd w:id="206"/>
    <w:bookmarkStart w:name="z217" w:id="207"/>
    <w:p>
      <w:pPr>
        <w:spacing w:after="0"/>
        <w:ind w:left="0"/>
        <w:jc w:val="both"/>
      </w:pPr>
      <w:r>
        <w:rPr>
          <w:rFonts w:ascii="Times New Roman"/>
          <w:b w:val="false"/>
          <w:i w:val="false"/>
          <w:color w:val="000000"/>
          <w:sz w:val="28"/>
        </w:rPr>
        <w:t>
      Согласно Плану территориального развития Республики Казахстан до 2025 года одним из перспективных несырьевых секторов экономических специализаций в разрезе регионов является развитие туризма. Деловой центр "EXPO" играет важную роль в развитии города, что способствует улучшению экономической инфраструктуры и привлекательности столицы для инвесторов. Все объекты, находящиеся на территории EXPO, составляют необходимую инфраструктуру для развития MICE-туризма в городе Астане и стране в целом. Для дальнейшего развития делового туризма Планом развития предусмотрено увеличение количества MICE-мероприятий до 427 в 2034 году, что содействует поступлению денежных средств в виде налогов и других обязательных платежей в бюджет страны.</w:t>
      </w:r>
    </w:p>
    <w:bookmarkEnd w:id="207"/>
    <w:bookmarkStart w:name="z218" w:id="208"/>
    <w:p>
      <w:pPr>
        <w:spacing w:after="0"/>
        <w:ind w:left="0"/>
        <w:jc w:val="both"/>
      </w:pPr>
      <w:r>
        <w:rPr>
          <w:rFonts w:ascii="Times New Roman"/>
          <w:b w:val="false"/>
          <w:i w:val="false"/>
          <w:color w:val="000000"/>
          <w:sz w:val="28"/>
        </w:rPr>
        <w:t>
      В целях реализации Концепции семейной и гендерной политики в Республике Казахстан до 2030 года Общество поддерживает равноправие полов на рабочих местах, предоставляя равные возможности для продвижения женщин на руководящие позиции. В этих целях декомпозирован индикатор по увеличению доли женщин на уровне принятия решений не менее 30 %.</w:t>
      </w:r>
    </w:p>
    <w:bookmarkEnd w:id="208"/>
    <w:bookmarkStart w:name="z219" w:id="209"/>
    <w:p>
      <w:pPr>
        <w:spacing w:after="0"/>
        <w:ind w:left="0"/>
        <w:jc w:val="both"/>
      </w:pPr>
      <w:r>
        <w:rPr>
          <w:rFonts w:ascii="Times New Roman"/>
          <w:b w:val="false"/>
          <w:i w:val="false"/>
          <w:color w:val="000000"/>
          <w:sz w:val="28"/>
        </w:rPr>
        <w:t>
      Согласно утвержденной Концепции инвестиционной политики Республики Казахстан до 2029 года будут разработаны методические рекомендации и руководства по раскрытию информации о степени подверженности рискам ESG, а также процедуре выявления, оценки влияния и управления этими рисками. В целях внедрения и соблюдения принципов экологического, социального и корпоративного управления ESG Общество продолжит свою деятельность, основываясь на принципах устойчивого развития, с обеспечением реализации проектов социальной и экологической направленности, разработки и внедрения добровольных инициатив по раскрытию информации в сфере ESG. Данный приоритет отражен в третьем направлении Плана развития.</w:t>
      </w:r>
    </w:p>
    <w:bookmarkEnd w:id="209"/>
    <w:bookmarkStart w:name="z220" w:id="210"/>
    <w:p>
      <w:pPr>
        <w:spacing w:after="0"/>
        <w:ind w:left="0"/>
        <w:jc w:val="both"/>
      </w:pPr>
      <w:r>
        <w:rPr>
          <w:rFonts w:ascii="Times New Roman"/>
          <w:b w:val="false"/>
          <w:i w:val="false"/>
          <w:color w:val="000000"/>
          <w:sz w:val="28"/>
        </w:rPr>
        <w:t xml:space="preserve">
      Таким образом, Общество активно реализует национальные интересы и государственные программы развития Казахстана, обеспечивая содействие международной экономической интеграции и осуществляя социально ответственную деятельность на основе устойчивого развития. </w:t>
      </w:r>
    </w:p>
    <w:bookmarkEnd w:id="210"/>
    <w:bookmarkStart w:name="z221" w:id="211"/>
    <w:p>
      <w:pPr>
        <w:spacing w:after="0"/>
        <w:ind w:left="0"/>
        <w:jc w:val="both"/>
      </w:pPr>
      <w:r>
        <w:rPr>
          <w:rFonts w:ascii="Times New Roman"/>
          <w:b w:val="false"/>
          <w:i w:val="false"/>
          <w:color w:val="000000"/>
          <w:sz w:val="28"/>
        </w:rPr>
        <w:t xml:space="preserve">
      </w:t>
      </w:r>
      <w:r>
        <w:rPr>
          <w:rFonts w:ascii="Times New Roman"/>
          <w:b/>
          <w:i w:val="false"/>
          <w:color w:val="000000"/>
          <w:sz w:val="28"/>
        </w:rPr>
        <w:t>Стратегическая роль Общества</w:t>
      </w:r>
    </w:p>
    <w:bookmarkEnd w:id="211"/>
    <w:bookmarkStart w:name="z222" w:id="212"/>
    <w:p>
      <w:pPr>
        <w:spacing w:after="0"/>
        <w:ind w:left="0"/>
        <w:jc w:val="both"/>
      </w:pPr>
      <w:r>
        <w:rPr>
          <w:rFonts w:ascii="Times New Roman"/>
          <w:b w:val="false"/>
          <w:i w:val="false"/>
          <w:color w:val="000000"/>
          <w:sz w:val="28"/>
        </w:rPr>
        <w:t>
      Общество создано постановлением Правительства Республики Казахстан от 15 января 2013 года № 11 "О создании акционерного общества "Национальная компания "Астана ЭКСПО-2017", которое определило основным предметом деятельности Общества послевыставочное использование территории международной специализированной выставки, а также участие в международных выставках, в том числе предусмотренных Конвенцией о международных выставках, совершенной в Париже 22 ноября 1928 года.</w:t>
      </w:r>
    </w:p>
    <w:bookmarkEnd w:id="212"/>
    <w:bookmarkStart w:name="z223" w:id="213"/>
    <w:p>
      <w:pPr>
        <w:spacing w:after="0"/>
        <w:ind w:left="0"/>
        <w:jc w:val="both"/>
      </w:pPr>
      <w:r>
        <w:rPr>
          <w:rFonts w:ascii="Times New Roman"/>
          <w:b w:val="false"/>
          <w:i w:val="false"/>
          <w:color w:val="000000"/>
          <w:sz w:val="28"/>
        </w:rPr>
        <w:t xml:space="preserve">
      Стратегическая роль Общества как национальной компании и ее значимость для страны заключаются в реализации следующих трех задач: </w:t>
      </w:r>
    </w:p>
    <w:bookmarkEnd w:id="213"/>
    <w:bookmarkStart w:name="z224" w:id="214"/>
    <w:p>
      <w:pPr>
        <w:spacing w:after="0"/>
        <w:ind w:left="0"/>
        <w:jc w:val="both"/>
      </w:pPr>
      <w:r>
        <w:rPr>
          <w:rFonts w:ascii="Times New Roman"/>
          <w:b w:val="false"/>
          <w:i w:val="false"/>
          <w:color w:val="000000"/>
          <w:sz w:val="28"/>
        </w:rPr>
        <w:t xml:space="preserve">
      1. Проведение имиджевых государственных и международных конгрессно-выставочных мероприятий любого уровня на территории страны и за ее пределами (международные выставки EXPO, Международный форум Астана, МПК и другие). </w:t>
      </w:r>
    </w:p>
    <w:bookmarkEnd w:id="214"/>
    <w:bookmarkStart w:name="z225" w:id="215"/>
    <w:p>
      <w:pPr>
        <w:spacing w:after="0"/>
        <w:ind w:left="0"/>
        <w:jc w:val="both"/>
      </w:pPr>
      <w:r>
        <w:rPr>
          <w:rFonts w:ascii="Times New Roman"/>
          <w:b w:val="false"/>
          <w:i w:val="false"/>
          <w:color w:val="000000"/>
          <w:sz w:val="28"/>
        </w:rPr>
        <w:t>
      Общество является ключевым оператором по организации и проведению крупных международных и государственных выставок, ярмарок, форумов и конгрессов. Проведение Обществом таких масштабных мероприятий позволяет продвигать положительный образ Казахстана, его экономический и культурный потенциал, демонстрировать свои новейшие разработки, технологии и продукты, что способствует расширению клиентской базы, привлечению инвесторов, улучшению восприятия страны на мировой арене, помогая укреплять международное доверие к стране как к надежному и перспективному партнеру для инвестиций и делового сотрудничества.</w:t>
      </w:r>
    </w:p>
    <w:bookmarkEnd w:id="215"/>
    <w:bookmarkStart w:name="z226" w:id="216"/>
    <w:p>
      <w:pPr>
        <w:spacing w:after="0"/>
        <w:ind w:left="0"/>
        <w:jc w:val="both"/>
      </w:pPr>
      <w:r>
        <w:rPr>
          <w:rFonts w:ascii="Times New Roman"/>
          <w:b w:val="false"/>
          <w:i w:val="false"/>
          <w:color w:val="000000"/>
          <w:sz w:val="28"/>
        </w:rPr>
        <w:t xml:space="preserve">
      Обеспечение Обществом участия Казахстана в таких мероприятиях, как Международная выставка EXPO и Международный форум Астана создает возможность для страны установить контакты с представителями других компаний, правительственных структур, академических и научных учреждений, что способствует заключению новых партнерских соглашений и меморандумов. </w:t>
      </w:r>
    </w:p>
    <w:bookmarkEnd w:id="216"/>
    <w:bookmarkStart w:name="z227" w:id="217"/>
    <w:p>
      <w:pPr>
        <w:spacing w:after="0"/>
        <w:ind w:left="0"/>
        <w:jc w:val="both"/>
      </w:pPr>
      <w:r>
        <w:rPr>
          <w:rFonts w:ascii="Times New Roman"/>
          <w:b w:val="false"/>
          <w:i w:val="false"/>
          <w:color w:val="000000"/>
          <w:sz w:val="28"/>
        </w:rPr>
        <w:t>
      Так, на последней успешно проведе нной выставке EXPO-2020 Dubai на площадке казахстанского павильона было проведено более 50 деловых и культурных мероприятий, а также заключено порядка 30 деловых соглашений и меморандумов о сотрудничестве в таких сферах как поставка и производство продукции, туризм, торговля, строительство, сельское хозяйство, энергетика и инвестиции.</w:t>
      </w:r>
    </w:p>
    <w:bookmarkEnd w:id="217"/>
    <w:bookmarkStart w:name="z228" w:id="218"/>
    <w:p>
      <w:pPr>
        <w:spacing w:after="0"/>
        <w:ind w:left="0"/>
        <w:jc w:val="both"/>
      </w:pPr>
      <w:r>
        <w:rPr>
          <w:rFonts w:ascii="Times New Roman"/>
          <w:b w:val="false"/>
          <w:i w:val="false"/>
          <w:color w:val="000000"/>
          <w:sz w:val="28"/>
        </w:rPr>
        <w:t>
      Ежегодно проводимый Международный форум Астана помогает поддерживать приоритетные направления развития, определенные государственной политикой, путем презентации инновационных проектов, направленных на решение ключевых национальных проблем, поддержки внешней экономической дипломатии и привлечения новых клиентов и партнеров.</w:t>
      </w:r>
    </w:p>
    <w:bookmarkEnd w:id="218"/>
    <w:bookmarkStart w:name="z229" w:id="219"/>
    <w:p>
      <w:pPr>
        <w:spacing w:after="0"/>
        <w:ind w:left="0"/>
        <w:jc w:val="both"/>
      </w:pPr>
      <w:r>
        <w:rPr>
          <w:rFonts w:ascii="Times New Roman"/>
          <w:b w:val="false"/>
          <w:i w:val="false"/>
          <w:color w:val="000000"/>
          <w:sz w:val="28"/>
        </w:rPr>
        <w:t>
      Таким образом, проведение имиджевых государственных и международных КВМ является важной стратегической ролью Общества, способствует развитию отечественного бизнеса и продвижению национальных интересов страны.</w:t>
      </w:r>
    </w:p>
    <w:bookmarkEnd w:id="219"/>
    <w:bookmarkStart w:name="z230" w:id="220"/>
    <w:p>
      <w:pPr>
        <w:spacing w:after="0"/>
        <w:ind w:left="0"/>
        <w:jc w:val="both"/>
      </w:pPr>
      <w:r>
        <w:rPr>
          <w:rFonts w:ascii="Times New Roman"/>
          <w:b w:val="false"/>
          <w:i w:val="false"/>
          <w:color w:val="000000"/>
          <w:sz w:val="28"/>
        </w:rPr>
        <w:t>
      2. Общество играет важную стратегическую роль в стимулировании инноваций, развитии финансового и IT секторов, подготовке кадров и обеспечении экономического развития страны через предоставление льготных условий для ключевых игроков в этих отраслях.</w:t>
      </w:r>
    </w:p>
    <w:bookmarkEnd w:id="220"/>
    <w:bookmarkStart w:name="z231" w:id="221"/>
    <w:p>
      <w:pPr>
        <w:spacing w:after="0"/>
        <w:ind w:left="0"/>
        <w:jc w:val="both"/>
      </w:pPr>
      <w:r>
        <w:rPr>
          <w:rFonts w:ascii="Times New Roman"/>
          <w:b w:val="false"/>
          <w:i w:val="false"/>
          <w:color w:val="000000"/>
          <w:sz w:val="28"/>
        </w:rPr>
        <w:t>
      Предоставление Обществом льготных условий для размещения таких резидентов, как Astana hub и IT University, способствует развитию инновационной и IT сфер в стране путем привлечения талантливых IT-специалистов, развития стартап-сообществ и стимулирования создания новых технологических продуктов и услуг.</w:t>
      </w:r>
    </w:p>
    <w:bookmarkEnd w:id="221"/>
    <w:bookmarkStart w:name="z232" w:id="222"/>
    <w:p>
      <w:pPr>
        <w:spacing w:after="0"/>
        <w:ind w:left="0"/>
        <w:jc w:val="both"/>
      </w:pPr>
      <w:r>
        <w:rPr>
          <w:rFonts w:ascii="Times New Roman"/>
          <w:b w:val="false"/>
          <w:i w:val="false"/>
          <w:color w:val="000000"/>
          <w:sz w:val="28"/>
        </w:rPr>
        <w:t>
      IT University также играет важную роль в подготовке высококвалифицированных кадров в области информационных технологий, содействует улучшению качества образования в стране и подготовке специалистов, востребованных на рынке труда.</w:t>
      </w:r>
    </w:p>
    <w:bookmarkEnd w:id="222"/>
    <w:bookmarkStart w:name="z233" w:id="223"/>
    <w:p>
      <w:pPr>
        <w:spacing w:after="0"/>
        <w:ind w:left="0"/>
        <w:jc w:val="both"/>
      </w:pPr>
      <w:r>
        <w:rPr>
          <w:rFonts w:ascii="Times New Roman"/>
          <w:b w:val="false"/>
          <w:i w:val="false"/>
          <w:color w:val="000000"/>
          <w:sz w:val="28"/>
        </w:rPr>
        <w:t>
      Размещение МФЦА является важным шагом в стимулировании развития финансового сектора страны, что создает благоприятную среду для привлечения иностранных инвестиций, развития финансовых инструментов и укрепления финансовой стабильности страны.</w:t>
      </w:r>
    </w:p>
    <w:bookmarkEnd w:id="223"/>
    <w:bookmarkStart w:name="z234" w:id="224"/>
    <w:p>
      <w:pPr>
        <w:spacing w:after="0"/>
        <w:ind w:left="0"/>
        <w:jc w:val="both"/>
      </w:pPr>
      <w:r>
        <w:rPr>
          <w:rFonts w:ascii="Times New Roman"/>
          <w:b w:val="false"/>
          <w:i w:val="false"/>
          <w:color w:val="000000"/>
          <w:sz w:val="28"/>
        </w:rPr>
        <w:t>
      Предоставляемые Обществом льготные условия в виде арендных ставок ниже рыночных для якорных резидентов ежегодно ложатся на плечи Общества в виде недополученного дохода в размере 8,8 млрд тенге. В свою очередь данная мера освобождает государственные бюджетные средства, которые перенаправляются на увеличение количества грантов, развитие новых площадок для формирования IT стартапов и выделение дотаций для реализации других стратегических целей страны.</w:t>
      </w:r>
    </w:p>
    <w:bookmarkEnd w:id="224"/>
    <w:bookmarkStart w:name="z235" w:id="225"/>
    <w:p>
      <w:pPr>
        <w:spacing w:after="0"/>
        <w:ind w:left="0"/>
        <w:jc w:val="both"/>
      </w:pPr>
      <w:r>
        <w:rPr>
          <w:rFonts w:ascii="Times New Roman"/>
          <w:b w:val="false"/>
          <w:i w:val="false"/>
          <w:color w:val="000000"/>
          <w:sz w:val="28"/>
        </w:rPr>
        <w:t>
      3. Общество играет важную стратегическую роль в сохранении, развитии и использовании уникальных объектов культурного наследия EXPO-2017 для стимулирования экономического роста, развития инноваций и поддержки культурного наследия страны.</w:t>
      </w:r>
    </w:p>
    <w:bookmarkEnd w:id="225"/>
    <w:bookmarkStart w:name="z236" w:id="226"/>
    <w:p>
      <w:pPr>
        <w:spacing w:after="0"/>
        <w:ind w:left="0"/>
        <w:jc w:val="both"/>
      </w:pPr>
      <w:r>
        <w:rPr>
          <w:rFonts w:ascii="Times New Roman"/>
          <w:b w:val="false"/>
          <w:i w:val="false"/>
          <w:color w:val="000000"/>
          <w:sz w:val="28"/>
        </w:rPr>
        <w:t>
      Обеспечение содержания и развития дорогостоящих и уникальных объектов культурного наследия EXPO-2017 стимулирует приток инвестиций в город и регион, способствует развитию туристической индустрии, увеличению экономического роста, созданию и поддержанию рабочих мест.</w:t>
      </w:r>
    </w:p>
    <w:bookmarkEnd w:id="226"/>
    <w:bookmarkStart w:name="z237" w:id="227"/>
    <w:p>
      <w:pPr>
        <w:spacing w:after="0"/>
        <w:ind w:left="0"/>
        <w:jc w:val="both"/>
      </w:pPr>
      <w:r>
        <w:rPr>
          <w:rFonts w:ascii="Times New Roman"/>
          <w:b w:val="false"/>
          <w:i w:val="false"/>
          <w:color w:val="000000"/>
          <w:sz w:val="28"/>
        </w:rPr>
        <w:t>
      Развитие делового центра "EXPO", как центральной экосистемы финансовой и IT сфер столицы, стимулирует инновационную активность, привлечение предпринимателей и интеллектуальных ресурсов с творческими идеями, содействует развитию инноваций, поддержке стартапов и повышению конкурентоспособности экономики страны.</w:t>
      </w:r>
    </w:p>
    <w:bookmarkEnd w:id="227"/>
    <w:bookmarkStart w:name="z238" w:id="228"/>
    <w:p>
      <w:pPr>
        <w:spacing w:after="0"/>
        <w:ind w:left="0"/>
        <w:jc w:val="both"/>
      </w:pPr>
      <w:r>
        <w:rPr>
          <w:rFonts w:ascii="Times New Roman"/>
          <w:b w:val="false"/>
          <w:i w:val="false"/>
          <w:color w:val="000000"/>
          <w:sz w:val="28"/>
        </w:rPr>
        <w:t>
      Успешная реализация потенциала развития всех объектов культурного наследия, находящихся в управлении Общества, и их 100 %-ная загрузка способствуют увеличению экономической активности региона, развитию бизнес-среды, досуговой зоны столицы и повышению уровня осведомленности населения об устойчивом и инновационном развитии.</w:t>
      </w:r>
    </w:p>
    <w:bookmarkEnd w:id="228"/>
    <w:p>
      <w:pPr>
        <w:spacing w:after="0"/>
        <w:ind w:left="0"/>
        <w:jc w:val="both"/>
      </w:pPr>
      <w:r>
        <w:rPr>
          <w:rFonts w:ascii="Times New Roman"/>
          <w:b/>
          <w:i w:val="false"/>
          <w:color w:val="000000"/>
          <w:sz w:val="28"/>
        </w:rPr>
        <w:t>3. Стратегические направления деятельности, цели, ключевые показатели деятельности и ожидаемые результаты по ним</w:t>
      </w:r>
    </w:p>
    <w:bookmarkStart w:name="z240" w:id="229"/>
    <w:p>
      <w:pPr>
        <w:spacing w:after="0"/>
        <w:ind w:left="0"/>
        <w:jc w:val="both"/>
      </w:pPr>
      <w:r>
        <w:rPr>
          <w:rFonts w:ascii="Times New Roman"/>
          <w:b w:val="false"/>
          <w:i w:val="false"/>
          <w:color w:val="000000"/>
          <w:sz w:val="28"/>
        </w:rPr>
        <w:t>
      В соответствии с миссией Обществом определено 3 стратегических направления деятельности, фокус на которых позволит применить инструменты и механизмы, отвечающие внешним и внутренним вызовам и возможностям для эффективного использования имеющихся ресурсов.</w:t>
      </w:r>
    </w:p>
    <w:bookmarkEnd w:id="229"/>
    <w:p>
      <w:pPr>
        <w:spacing w:after="0"/>
        <w:ind w:left="0"/>
        <w:jc w:val="both"/>
      </w:pPr>
      <w:r>
        <w:rPr>
          <w:rFonts w:ascii="Times New Roman"/>
          <w:b/>
          <w:i w:val="false"/>
          <w:color w:val="000000"/>
          <w:sz w:val="28"/>
        </w:rPr>
        <w:t xml:space="preserve">1. Стратегическое направление: "Содействие росту национальной экономики" </w:t>
      </w:r>
    </w:p>
    <w:bookmarkStart w:name="z242" w:id="230"/>
    <w:p>
      <w:pPr>
        <w:spacing w:after="0"/>
        <w:ind w:left="0"/>
        <w:jc w:val="both"/>
      </w:pPr>
      <w:r>
        <w:rPr>
          <w:rFonts w:ascii="Times New Roman"/>
          <w:b w:val="false"/>
          <w:i w:val="false"/>
          <w:color w:val="000000"/>
          <w:sz w:val="28"/>
        </w:rPr>
        <w:t>
      Задача каждой национальной компании – внесение вклада в благосостояние и процветание страны, которое заключается в создании рабочих мест, улучшении уровня жизни граждан, поддержке социальных программ и так далее. Рост экономики страны обеспечивает компаниям больше возможностей для роста, инноваций и развития. Кроме того, стабильная и процветающая экономика создает благоприятную бизнес-среду, что способствует устойчивому развитию компаний.</w:t>
      </w:r>
    </w:p>
    <w:bookmarkEnd w:id="230"/>
    <w:bookmarkStart w:name="z243" w:id="231"/>
    <w:p>
      <w:pPr>
        <w:spacing w:after="0"/>
        <w:ind w:left="0"/>
        <w:jc w:val="both"/>
      </w:pPr>
      <w:r>
        <w:rPr>
          <w:rFonts w:ascii="Times New Roman"/>
          <w:b w:val="false"/>
          <w:i w:val="false"/>
          <w:color w:val="000000"/>
          <w:sz w:val="28"/>
        </w:rPr>
        <w:t>
      Учитывая эти факторы, активное участие Общества в поддержке роста национальной экономики имеет смысл как с точки зрения общественной ответственности, так и в интересах собственного успешного развития.</w:t>
      </w:r>
    </w:p>
    <w:bookmarkEnd w:id="231"/>
    <w:bookmarkStart w:name="z244" w:id="232"/>
    <w:p>
      <w:pPr>
        <w:spacing w:after="0"/>
        <w:ind w:left="0"/>
        <w:jc w:val="both"/>
      </w:pPr>
      <w:r>
        <w:rPr>
          <w:rFonts w:ascii="Times New Roman"/>
          <w:b w:val="false"/>
          <w:i w:val="false"/>
          <w:color w:val="000000"/>
          <w:sz w:val="28"/>
        </w:rPr>
        <w:t xml:space="preserve">
      Являясь национальной компанией, Общество определяет для себя первым стратегическим направлением содействие росту национальной экономики Казахстана. Данное стратегическое направление отражает ответственность Общества по достижению национальных индикаторов, обозначенных в документах Системы государственного планирования Республики Казахстан, таких как Стратегия "Казахстан-2050", Национальный план развития Республики Казахстан до 2029 года и План развития МТИ РК на 2023 – 2027 годы. </w:t>
      </w:r>
    </w:p>
    <w:bookmarkEnd w:id="232"/>
    <w:p>
      <w:pPr>
        <w:spacing w:after="0"/>
        <w:ind w:left="0"/>
        <w:jc w:val="both"/>
      </w:pPr>
      <w:r>
        <w:rPr>
          <w:rFonts w:ascii="Times New Roman"/>
          <w:b/>
          <w:i w:val="false"/>
          <w:color w:val="000000"/>
          <w:sz w:val="28"/>
        </w:rPr>
        <w:t>1.1. Цель № 1: обеспечение достижения национальных индикаторов</w:t>
      </w:r>
    </w:p>
    <w:bookmarkStart w:name="z246" w:id="233"/>
    <w:p>
      <w:pPr>
        <w:spacing w:after="0"/>
        <w:ind w:left="0"/>
        <w:jc w:val="both"/>
      </w:pPr>
      <w:r>
        <w:rPr>
          <w:rFonts w:ascii="Times New Roman"/>
          <w:b w:val="false"/>
          <w:i w:val="false"/>
          <w:color w:val="000000"/>
          <w:sz w:val="28"/>
        </w:rPr>
        <w:t>
      Обеспечение достижения национальных индикаторов предполагает реализацию конкретных показателей, определенных национальной стратегией и программами развития, которые направлены на социально-экономическое развитие и другие аспекты жизни общества.</w:t>
      </w:r>
    </w:p>
    <w:bookmarkEnd w:id="233"/>
    <w:bookmarkStart w:name="z247" w:id="234"/>
    <w:p>
      <w:pPr>
        <w:spacing w:after="0"/>
        <w:ind w:left="0"/>
        <w:jc w:val="both"/>
      </w:pPr>
      <w:r>
        <w:rPr>
          <w:rFonts w:ascii="Times New Roman"/>
          <w:b w:val="false"/>
          <w:i w:val="false"/>
          <w:color w:val="000000"/>
          <w:sz w:val="28"/>
        </w:rPr>
        <w:t>
      Национальные индикаторы включают в себя такие показатели, как:</w:t>
      </w:r>
    </w:p>
    <w:bookmarkEnd w:id="234"/>
    <w:bookmarkStart w:name="z248" w:id="235"/>
    <w:p>
      <w:pPr>
        <w:spacing w:after="0"/>
        <w:ind w:left="0"/>
        <w:jc w:val="both"/>
      </w:pPr>
      <w:r>
        <w:rPr>
          <w:rFonts w:ascii="Times New Roman"/>
          <w:b w:val="false"/>
          <w:i w:val="false"/>
          <w:color w:val="000000"/>
          <w:sz w:val="28"/>
        </w:rPr>
        <w:t>
      ВВП на душу населения в текущих ценах;</w:t>
      </w:r>
    </w:p>
    <w:bookmarkEnd w:id="235"/>
    <w:bookmarkStart w:name="z249" w:id="236"/>
    <w:p>
      <w:pPr>
        <w:spacing w:after="0"/>
        <w:ind w:left="0"/>
        <w:jc w:val="both"/>
      </w:pPr>
      <w:r>
        <w:rPr>
          <w:rFonts w:ascii="Times New Roman"/>
          <w:b w:val="false"/>
          <w:i w:val="false"/>
          <w:color w:val="000000"/>
          <w:sz w:val="28"/>
        </w:rPr>
        <w:t>
      инвестиции в основной капитал;</w:t>
      </w:r>
    </w:p>
    <w:bookmarkEnd w:id="236"/>
    <w:bookmarkStart w:name="z250" w:id="237"/>
    <w:p>
      <w:pPr>
        <w:spacing w:after="0"/>
        <w:ind w:left="0"/>
        <w:jc w:val="both"/>
      </w:pPr>
      <w:r>
        <w:rPr>
          <w:rFonts w:ascii="Times New Roman"/>
          <w:b w:val="false"/>
          <w:i w:val="false"/>
          <w:color w:val="000000"/>
          <w:sz w:val="28"/>
        </w:rPr>
        <w:t>
      производительность труда.</w:t>
      </w:r>
    </w:p>
    <w:bookmarkEnd w:id="237"/>
    <w:bookmarkStart w:name="z251" w:id="238"/>
    <w:p>
      <w:pPr>
        <w:spacing w:after="0"/>
        <w:ind w:left="0"/>
        <w:jc w:val="both"/>
      </w:pPr>
      <w:r>
        <w:rPr>
          <w:rFonts w:ascii="Times New Roman"/>
          <w:b w:val="false"/>
          <w:i w:val="false"/>
          <w:color w:val="000000"/>
          <w:sz w:val="28"/>
        </w:rPr>
        <w:t xml:space="preserve">
      Определение цели по обеспечению достижения национальных индикаторов предусматривает реализацию Обществом следующих задач: </w:t>
      </w:r>
    </w:p>
    <w:bookmarkEnd w:id="238"/>
    <w:p>
      <w:pPr>
        <w:spacing w:after="0"/>
        <w:ind w:left="0"/>
        <w:jc w:val="both"/>
      </w:pPr>
      <w:r>
        <w:rPr>
          <w:rFonts w:ascii="Times New Roman"/>
          <w:b/>
          <w:i w:val="false"/>
          <w:color w:val="000000"/>
          <w:sz w:val="28"/>
        </w:rPr>
        <w:t>1.1.1. Увеличение ВВП на душу населения в текущих ценах</w:t>
      </w:r>
    </w:p>
    <w:bookmarkStart w:name="z253" w:id="239"/>
    <w:p>
      <w:pPr>
        <w:spacing w:after="0"/>
        <w:ind w:left="0"/>
        <w:jc w:val="both"/>
      </w:pPr>
      <w:r>
        <w:rPr>
          <w:rFonts w:ascii="Times New Roman"/>
          <w:b w:val="false"/>
          <w:i w:val="false"/>
          <w:color w:val="000000"/>
          <w:sz w:val="28"/>
        </w:rPr>
        <w:t>
      Увеличение ВВП на душу населения в текущих ценах представляет собой меру экономического благополучия и является ключевым индикатором экономического роста и уровня жизни населения, успешности экономической политики и стратегий развития страны.</w:t>
      </w:r>
    </w:p>
    <w:bookmarkEnd w:id="239"/>
    <w:bookmarkStart w:name="z254" w:id="240"/>
    <w:p>
      <w:pPr>
        <w:spacing w:after="0"/>
        <w:ind w:left="0"/>
        <w:jc w:val="both"/>
      </w:pPr>
      <w:r>
        <w:rPr>
          <w:rFonts w:ascii="Times New Roman"/>
          <w:b w:val="false"/>
          <w:i w:val="false"/>
          <w:color w:val="000000"/>
          <w:sz w:val="28"/>
        </w:rPr>
        <w:t>
      Принимая важность реализации данной задачи, Обществу необходимо осуществить следующие меры:</w:t>
      </w:r>
    </w:p>
    <w:bookmarkEnd w:id="240"/>
    <w:bookmarkStart w:name="z255" w:id="241"/>
    <w:p>
      <w:pPr>
        <w:spacing w:after="0"/>
        <w:ind w:left="0"/>
        <w:jc w:val="both"/>
      </w:pPr>
      <w:r>
        <w:rPr>
          <w:rFonts w:ascii="Times New Roman"/>
          <w:b w:val="false"/>
          <w:i w:val="false"/>
          <w:color w:val="000000"/>
          <w:sz w:val="28"/>
        </w:rPr>
        <w:t>
      увеличить объем доходов по основным направлениям деятельности Общества;</w:t>
      </w:r>
    </w:p>
    <w:bookmarkEnd w:id="241"/>
    <w:bookmarkStart w:name="z256" w:id="242"/>
    <w:p>
      <w:pPr>
        <w:spacing w:after="0"/>
        <w:ind w:left="0"/>
        <w:jc w:val="both"/>
      </w:pPr>
      <w:r>
        <w:rPr>
          <w:rFonts w:ascii="Times New Roman"/>
          <w:b w:val="false"/>
          <w:i w:val="false"/>
          <w:color w:val="000000"/>
          <w:sz w:val="28"/>
        </w:rPr>
        <w:t>
      организовывать КВМ площадки для расширения торгово-экономических связей и развития экономики страны;</w:t>
      </w:r>
    </w:p>
    <w:bookmarkEnd w:id="242"/>
    <w:bookmarkStart w:name="z257" w:id="243"/>
    <w:p>
      <w:pPr>
        <w:spacing w:after="0"/>
        <w:ind w:left="0"/>
        <w:jc w:val="both"/>
      </w:pPr>
      <w:r>
        <w:rPr>
          <w:rFonts w:ascii="Times New Roman"/>
          <w:b w:val="false"/>
          <w:i w:val="false"/>
          <w:color w:val="000000"/>
          <w:sz w:val="28"/>
        </w:rPr>
        <w:t xml:space="preserve">
      сохранять и поддерживать рабочие места, обеспеченные стабильной заработной платой и благоприятной рабочей средой. </w:t>
      </w:r>
    </w:p>
    <w:bookmarkEnd w:id="243"/>
    <w:bookmarkStart w:name="z258" w:id="244"/>
    <w:p>
      <w:pPr>
        <w:spacing w:after="0"/>
        <w:ind w:left="0"/>
        <w:jc w:val="both"/>
      </w:pPr>
      <w:r>
        <w:rPr>
          <w:rFonts w:ascii="Times New Roman"/>
          <w:b w:val="false"/>
          <w:i w:val="false"/>
          <w:color w:val="000000"/>
          <w:sz w:val="28"/>
        </w:rPr>
        <w:t>
      В рамках реализации данных мер Общество ожидает следующие положительные эффекты:</w:t>
      </w:r>
    </w:p>
    <w:bookmarkEnd w:id="244"/>
    <w:bookmarkStart w:name="z259" w:id="245"/>
    <w:p>
      <w:pPr>
        <w:spacing w:after="0"/>
        <w:ind w:left="0"/>
        <w:jc w:val="both"/>
      </w:pPr>
      <w:r>
        <w:rPr>
          <w:rFonts w:ascii="Times New Roman"/>
          <w:b w:val="false"/>
          <w:i w:val="false"/>
          <w:color w:val="000000"/>
          <w:sz w:val="28"/>
        </w:rPr>
        <w:t xml:space="preserve">
      содействие росту ВВП страны на душу населения в текущих ценах; </w:t>
      </w:r>
    </w:p>
    <w:bookmarkEnd w:id="245"/>
    <w:bookmarkStart w:name="z260" w:id="246"/>
    <w:p>
      <w:pPr>
        <w:spacing w:after="0"/>
        <w:ind w:left="0"/>
        <w:jc w:val="both"/>
      </w:pPr>
      <w:r>
        <w:rPr>
          <w:rFonts w:ascii="Times New Roman"/>
          <w:b w:val="false"/>
          <w:i w:val="false"/>
          <w:color w:val="000000"/>
          <w:sz w:val="28"/>
        </w:rPr>
        <w:t>
      увеличение доходов граждан.</w:t>
      </w:r>
    </w:p>
    <w:bookmarkEnd w:id="246"/>
    <w:p>
      <w:pPr>
        <w:spacing w:after="0"/>
        <w:ind w:left="0"/>
        <w:jc w:val="both"/>
      </w:pPr>
      <w:r>
        <w:rPr>
          <w:rFonts w:ascii="Times New Roman"/>
          <w:b/>
          <w:i w:val="false"/>
          <w:color w:val="000000"/>
          <w:sz w:val="28"/>
        </w:rPr>
        <w:t>1.1.2. Привлечение инвестиций в основной капитал</w:t>
      </w:r>
    </w:p>
    <w:bookmarkStart w:name="z262" w:id="247"/>
    <w:p>
      <w:pPr>
        <w:spacing w:after="0"/>
        <w:ind w:left="0"/>
        <w:jc w:val="both"/>
      </w:pPr>
      <w:r>
        <w:rPr>
          <w:rFonts w:ascii="Times New Roman"/>
          <w:b w:val="false"/>
          <w:i w:val="false"/>
          <w:color w:val="000000"/>
          <w:sz w:val="28"/>
        </w:rPr>
        <w:t>
      Привлечение инвестиций в основной капитал представляет собой процесс привлечения финансовых ресурсов для инвестирования в основные средства и активы Общества, такие как здания, оборудование и технологии.</w:t>
      </w:r>
    </w:p>
    <w:bookmarkEnd w:id="247"/>
    <w:bookmarkStart w:name="z263" w:id="248"/>
    <w:p>
      <w:pPr>
        <w:spacing w:after="0"/>
        <w:ind w:left="0"/>
        <w:jc w:val="both"/>
      </w:pPr>
      <w:r>
        <w:rPr>
          <w:rFonts w:ascii="Times New Roman"/>
          <w:b w:val="false"/>
          <w:i w:val="false"/>
          <w:color w:val="000000"/>
          <w:sz w:val="28"/>
        </w:rPr>
        <w:t>
      Реализация задачи по привлечению инвестиций в основной капитал заключается в осуществлении следующих мер:</w:t>
      </w:r>
    </w:p>
    <w:bookmarkEnd w:id="248"/>
    <w:bookmarkStart w:name="z264" w:id="249"/>
    <w:p>
      <w:pPr>
        <w:spacing w:after="0"/>
        <w:ind w:left="0"/>
        <w:jc w:val="both"/>
      </w:pPr>
      <w:r>
        <w:rPr>
          <w:rFonts w:ascii="Times New Roman"/>
          <w:b w:val="false"/>
          <w:i w:val="false"/>
          <w:color w:val="000000"/>
          <w:sz w:val="28"/>
        </w:rPr>
        <w:t>
      поиск новых источников финансирования;</w:t>
      </w:r>
    </w:p>
    <w:bookmarkEnd w:id="249"/>
    <w:bookmarkStart w:name="z265" w:id="250"/>
    <w:p>
      <w:pPr>
        <w:spacing w:after="0"/>
        <w:ind w:left="0"/>
        <w:jc w:val="both"/>
      </w:pPr>
      <w:r>
        <w:rPr>
          <w:rFonts w:ascii="Times New Roman"/>
          <w:b w:val="false"/>
          <w:i w:val="false"/>
          <w:color w:val="000000"/>
          <w:sz w:val="28"/>
        </w:rPr>
        <w:t>
      публикация информации о финансовой устойчивости Общества, перспективах роста и инвестиционных возможностях.</w:t>
      </w:r>
    </w:p>
    <w:bookmarkEnd w:id="250"/>
    <w:bookmarkStart w:name="z266" w:id="251"/>
    <w:p>
      <w:pPr>
        <w:spacing w:after="0"/>
        <w:ind w:left="0"/>
        <w:jc w:val="both"/>
      </w:pPr>
      <w:r>
        <w:rPr>
          <w:rFonts w:ascii="Times New Roman"/>
          <w:b w:val="false"/>
          <w:i w:val="false"/>
          <w:color w:val="000000"/>
          <w:sz w:val="28"/>
        </w:rPr>
        <w:t>
      В рамках реализации данных мер Общество ожидает следующие положительные эффекты:</w:t>
      </w:r>
    </w:p>
    <w:bookmarkEnd w:id="251"/>
    <w:bookmarkStart w:name="z267" w:id="252"/>
    <w:p>
      <w:pPr>
        <w:spacing w:after="0"/>
        <w:ind w:left="0"/>
        <w:jc w:val="both"/>
      </w:pPr>
      <w:r>
        <w:rPr>
          <w:rFonts w:ascii="Times New Roman"/>
          <w:b w:val="false"/>
          <w:i w:val="false"/>
          <w:color w:val="000000"/>
          <w:sz w:val="28"/>
        </w:rPr>
        <w:t>
      модернизацию и расширение производственных возможностей Общества;</w:t>
      </w:r>
    </w:p>
    <w:bookmarkEnd w:id="252"/>
    <w:bookmarkStart w:name="z268" w:id="253"/>
    <w:p>
      <w:pPr>
        <w:spacing w:after="0"/>
        <w:ind w:left="0"/>
        <w:jc w:val="both"/>
      </w:pPr>
      <w:r>
        <w:rPr>
          <w:rFonts w:ascii="Times New Roman"/>
          <w:b w:val="false"/>
          <w:i w:val="false"/>
          <w:color w:val="000000"/>
          <w:sz w:val="28"/>
        </w:rPr>
        <w:t>
      стимулирование экономического роста и развития как Общества, так и страны в целом;</w:t>
      </w:r>
    </w:p>
    <w:bookmarkEnd w:id="253"/>
    <w:bookmarkStart w:name="z269" w:id="254"/>
    <w:p>
      <w:pPr>
        <w:spacing w:after="0"/>
        <w:ind w:left="0"/>
        <w:jc w:val="both"/>
      </w:pPr>
      <w:r>
        <w:rPr>
          <w:rFonts w:ascii="Times New Roman"/>
          <w:b w:val="false"/>
          <w:i w:val="false"/>
          <w:color w:val="000000"/>
          <w:sz w:val="28"/>
        </w:rPr>
        <w:t>
      обеспечение необходимыми ресурсами для улучшения производственных процессов, увеличения эффективности и конкурентоспособности.</w:t>
      </w:r>
    </w:p>
    <w:bookmarkEnd w:id="254"/>
    <w:p>
      <w:pPr>
        <w:spacing w:after="0"/>
        <w:ind w:left="0"/>
        <w:jc w:val="both"/>
      </w:pPr>
      <w:r>
        <w:rPr>
          <w:rFonts w:ascii="Times New Roman"/>
          <w:b/>
          <w:i w:val="false"/>
          <w:color w:val="000000"/>
          <w:sz w:val="28"/>
        </w:rPr>
        <w:t>1.1.3. Увеличение производительности труда</w:t>
      </w:r>
    </w:p>
    <w:bookmarkStart w:name="z271" w:id="255"/>
    <w:p>
      <w:pPr>
        <w:spacing w:after="0"/>
        <w:ind w:left="0"/>
        <w:jc w:val="both"/>
      </w:pPr>
      <w:r>
        <w:rPr>
          <w:rFonts w:ascii="Times New Roman"/>
          <w:b w:val="false"/>
          <w:i w:val="false"/>
          <w:color w:val="000000"/>
          <w:sz w:val="28"/>
        </w:rPr>
        <w:t xml:space="preserve">
      Увеличение производительности труда является ключевым фактором роста экономики и конкурентоспособности предприятий, так как позволяет снижать издержки производства, повышать качество продукции, улучшать сервис и уровень удовлетворенности потребителей, а также обеспечивать устойчивое развитие и рост доходов как на уровне компании, так и на уровне страны. </w:t>
      </w:r>
    </w:p>
    <w:bookmarkEnd w:id="255"/>
    <w:bookmarkStart w:name="z272" w:id="256"/>
    <w:p>
      <w:pPr>
        <w:spacing w:after="0"/>
        <w:ind w:left="0"/>
        <w:jc w:val="both"/>
      </w:pPr>
      <w:r>
        <w:rPr>
          <w:rFonts w:ascii="Times New Roman"/>
          <w:b w:val="false"/>
          <w:i w:val="false"/>
          <w:color w:val="000000"/>
          <w:sz w:val="28"/>
        </w:rPr>
        <w:t>
      Реализация данной задачи будет обеспечена путем осуществления следующих мер:</w:t>
      </w:r>
    </w:p>
    <w:bookmarkEnd w:id="256"/>
    <w:bookmarkStart w:name="z273" w:id="257"/>
    <w:p>
      <w:pPr>
        <w:spacing w:after="0"/>
        <w:ind w:left="0"/>
        <w:jc w:val="both"/>
      </w:pPr>
      <w:r>
        <w:rPr>
          <w:rFonts w:ascii="Times New Roman"/>
          <w:b w:val="false"/>
          <w:i w:val="false"/>
          <w:color w:val="000000"/>
          <w:sz w:val="28"/>
        </w:rPr>
        <w:t>
      обучение и развитие персонала;</w:t>
      </w:r>
    </w:p>
    <w:bookmarkEnd w:id="257"/>
    <w:bookmarkStart w:name="z274" w:id="258"/>
    <w:p>
      <w:pPr>
        <w:spacing w:after="0"/>
        <w:ind w:left="0"/>
        <w:jc w:val="both"/>
      </w:pPr>
      <w:r>
        <w:rPr>
          <w:rFonts w:ascii="Times New Roman"/>
          <w:b w:val="false"/>
          <w:i w:val="false"/>
          <w:color w:val="000000"/>
          <w:sz w:val="28"/>
        </w:rPr>
        <w:t xml:space="preserve">
      создание стимулов и мотиваций для сотрудников. </w:t>
      </w:r>
    </w:p>
    <w:bookmarkEnd w:id="258"/>
    <w:bookmarkStart w:name="z275" w:id="259"/>
    <w:p>
      <w:pPr>
        <w:spacing w:after="0"/>
        <w:ind w:left="0"/>
        <w:jc w:val="both"/>
      </w:pPr>
      <w:r>
        <w:rPr>
          <w:rFonts w:ascii="Times New Roman"/>
          <w:b w:val="false"/>
          <w:i w:val="false"/>
          <w:color w:val="000000"/>
          <w:sz w:val="28"/>
        </w:rPr>
        <w:t>
      В рамках реализации данных мер Общество ожидает следующие положительные эффекты:</w:t>
      </w:r>
    </w:p>
    <w:bookmarkEnd w:id="259"/>
    <w:bookmarkStart w:name="z276" w:id="260"/>
    <w:p>
      <w:pPr>
        <w:spacing w:after="0"/>
        <w:ind w:left="0"/>
        <w:jc w:val="both"/>
      </w:pPr>
      <w:r>
        <w:rPr>
          <w:rFonts w:ascii="Times New Roman"/>
          <w:b w:val="false"/>
          <w:i w:val="false"/>
          <w:color w:val="000000"/>
          <w:sz w:val="28"/>
        </w:rPr>
        <w:t>
      повышение квалификации и профессионализма персонала;</w:t>
      </w:r>
    </w:p>
    <w:bookmarkEnd w:id="260"/>
    <w:bookmarkStart w:name="z277" w:id="261"/>
    <w:p>
      <w:pPr>
        <w:spacing w:after="0"/>
        <w:ind w:left="0"/>
        <w:jc w:val="both"/>
      </w:pPr>
      <w:r>
        <w:rPr>
          <w:rFonts w:ascii="Times New Roman"/>
          <w:b w:val="false"/>
          <w:i w:val="false"/>
          <w:color w:val="000000"/>
          <w:sz w:val="28"/>
        </w:rPr>
        <w:t>
      увеличение производительности труда.</w:t>
      </w:r>
    </w:p>
    <w:bookmarkEnd w:id="261"/>
    <w:bookmarkStart w:name="z278" w:id="262"/>
    <w:p>
      <w:pPr>
        <w:spacing w:after="0"/>
        <w:ind w:left="0"/>
        <w:jc w:val="both"/>
      </w:pPr>
      <w:r>
        <w:rPr>
          <w:rFonts w:ascii="Times New Roman"/>
          <w:b w:val="false"/>
          <w:i w:val="false"/>
          <w:color w:val="000000"/>
          <w:sz w:val="28"/>
        </w:rPr>
        <w:t>
      Ожидаемые количественные результаты от реализации стратегического направления "Содействие росту национальной экономики" включают увеличение к 2034 году ВВП на душу населения до 1,63 долл. США, привлечение инвестиций в основной капитал не менее 0,505 млрд тенге и увеличение производительности труда до 72 млн тенге/человека.</w:t>
      </w:r>
    </w:p>
    <w:bookmarkEnd w:id="262"/>
    <w:p>
      <w:pPr>
        <w:spacing w:after="0"/>
        <w:ind w:left="0"/>
        <w:jc w:val="both"/>
      </w:pPr>
      <w:r>
        <w:rPr>
          <w:rFonts w:ascii="Times New Roman"/>
          <w:b/>
          <w:i w:val="false"/>
          <w:color w:val="000000"/>
          <w:sz w:val="28"/>
        </w:rPr>
        <w:t xml:space="preserve">2. Стратегическое направление: "Эффективное управление деятельностью Общества". </w:t>
      </w:r>
    </w:p>
    <w:bookmarkStart w:name="z280" w:id="263"/>
    <w:p>
      <w:pPr>
        <w:spacing w:after="0"/>
        <w:ind w:left="0"/>
        <w:jc w:val="both"/>
      </w:pPr>
      <w:r>
        <w:rPr>
          <w:rFonts w:ascii="Times New Roman"/>
          <w:b w:val="false"/>
          <w:i w:val="false"/>
          <w:color w:val="000000"/>
          <w:sz w:val="28"/>
        </w:rPr>
        <w:t>
      Эффективное управление деятельностью Общества представляет собой системный подход к руководству и контролю за всеми аспектами его функционирования с целью реализации возложенных на Общество Правительством Республики Казахстан задач. Стратегическое направление включает в себя достижение целей по повышению доходности и обеспечению операционной безубыточности Общества путем эффективного управления направлениями деятельности компании в части организации и проведения КВМ, обеспечения участия Республики Казахстан на международных выставках EXPO, а также управления активами.</w:t>
      </w:r>
    </w:p>
    <w:bookmarkEnd w:id="263"/>
    <w:bookmarkStart w:name="z281" w:id="264"/>
    <w:p>
      <w:pPr>
        <w:spacing w:after="0"/>
        <w:ind w:left="0"/>
        <w:jc w:val="both"/>
      </w:pPr>
      <w:r>
        <w:rPr>
          <w:rFonts w:ascii="Times New Roman"/>
          <w:b w:val="false"/>
          <w:i w:val="false"/>
          <w:color w:val="000000"/>
          <w:sz w:val="28"/>
        </w:rPr>
        <w:t>
      Важными элементами эффективного управления являются обеспечение проведения запланированного количества мероприятий, недопущение вакантности коммерческой и офисной недвижимости, стремление к рыночному ценообразованию, получение выручки не ниже плановых значений, бесперебойное функционирование объектов делового центра "EXPO", развитие разнообразия услуг и продуктов, оптимизация операционных процессов и обеспечение финансовой устойчивости к изменениям в динамичной и конкурентной среде.</w:t>
      </w:r>
    </w:p>
    <w:bookmarkEnd w:id="264"/>
    <w:bookmarkStart w:name="z282" w:id="265"/>
    <w:p>
      <w:pPr>
        <w:spacing w:after="0"/>
        <w:ind w:left="0"/>
        <w:jc w:val="both"/>
      </w:pPr>
      <w:r>
        <w:rPr>
          <w:rFonts w:ascii="Times New Roman"/>
          <w:b w:val="false"/>
          <w:i w:val="false"/>
          <w:color w:val="000000"/>
          <w:sz w:val="28"/>
        </w:rPr>
        <w:t xml:space="preserve">
      Таким образом, эффективное управление деятельностью Общества обеспечивает его конкурентоспособность, финансовую устойчивость и способность к долгосрочному развитию. </w:t>
      </w:r>
    </w:p>
    <w:bookmarkEnd w:id="265"/>
    <w:p>
      <w:pPr>
        <w:spacing w:after="0"/>
        <w:ind w:left="0"/>
        <w:jc w:val="both"/>
      </w:pPr>
      <w:r>
        <w:rPr>
          <w:rFonts w:ascii="Times New Roman"/>
          <w:b/>
          <w:i w:val="false"/>
          <w:color w:val="000000"/>
          <w:sz w:val="28"/>
        </w:rPr>
        <w:t xml:space="preserve">2.1. Цель № 2: повышение доходности Общества </w:t>
      </w:r>
    </w:p>
    <w:bookmarkStart w:name="z284" w:id="266"/>
    <w:p>
      <w:pPr>
        <w:spacing w:after="0"/>
        <w:ind w:left="0"/>
        <w:jc w:val="both"/>
      </w:pPr>
      <w:r>
        <w:rPr>
          <w:rFonts w:ascii="Times New Roman"/>
          <w:b w:val="false"/>
          <w:i w:val="false"/>
          <w:color w:val="000000"/>
          <w:sz w:val="28"/>
        </w:rPr>
        <w:t xml:space="preserve">
      Цель по повышению доходности является одной из ключевых целей Общества и представляет собой стратегическое намерение компании увеличить свой финансовый результат, который выражается в конкретных числовых показателях, таких как увеличение выручки от проведения КВМ и от сдачи коммерческой недвижимости в аренду, включая коммерциализацию сервисных услуг. </w:t>
      </w:r>
    </w:p>
    <w:bookmarkEnd w:id="266"/>
    <w:bookmarkStart w:name="z285" w:id="267"/>
    <w:p>
      <w:pPr>
        <w:spacing w:after="0"/>
        <w:ind w:left="0"/>
        <w:jc w:val="both"/>
      </w:pPr>
      <w:r>
        <w:rPr>
          <w:rFonts w:ascii="Times New Roman"/>
          <w:b w:val="false"/>
          <w:i w:val="false"/>
          <w:color w:val="000000"/>
          <w:sz w:val="28"/>
        </w:rPr>
        <w:t>
      Достижение цели по повышению доходности Общества имеет ряд позитивных последствий, включая увеличение стоимости акций и инвестиционной привлекательности, расширение возможностей для развития, а также улучшение финансового положения Общества в целом. Для реализации данной цели необходимо выполнение следующих задач:</w:t>
      </w:r>
    </w:p>
    <w:bookmarkEnd w:id="267"/>
    <w:p>
      <w:pPr>
        <w:spacing w:after="0"/>
        <w:ind w:left="0"/>
        <w:jc w:val="both"/>
      </w:pPr>
      <w:r>
        <w:rPr>
          <w:rFonts w:ascii="Times New Roman"/>
          <w:b/>
          <w:i w:val="false"/>
          <w:color w:val="000000"/>
          <w:sz w:val="28"/>
        </w:rPr>
        <w:t>2.1.1. Участие в международных выставках EXPO</w:t>
      </w:r>
    </w:p>
    <w:bookmarkStart w:name="z287" w:id="268"/>
    <w:p>
      <w:pPr>
        <w:spacing w:after="0"/>
        <w:ind w:left="0"/>
        <w:jc w:val="both"/>
      </w:pPr>
      <w:r>
        <w:rPr>
          <w:rFonts w:ascii="Times New Roman"/>
          <w:b w:val="false"/>
          <w:i w:val="false"/>
          <w:color w:val="000000"/>
          <w:sz w:val="28"/>
        </w:rPr>
        <w:t>
      Общество, как единственный оператор по обеспечению участия Республики Казахстан на международных выставках EXPO, проведение которых регулируется Международным бюро выставок (МБВ), играет важную роль в развитии экономики и культуры, а также укреплении международных отношений и привлечении внимания к стране. Проведение таких масштабных мероприятий, как конгрессы, форумы, выставки и ярмарки, позволяют стимулировать экономический рост, продвигать культурный обмен, повышать престиж и влияние страны, а также способствует развитию индустрии событийного маркетинга, созданию рабочих мест, стимулирует инновации и повышает конкурентоспособность Общества в этой отрасли.</w:t>
      </w:r>
    </w:p>
    <w:bookmarkEnd w:id="268"/>
    <w:bookmarkStart w:name="z288" w:id="269"/>
    <w:p>
      <w:pPr>
        <w:spacing w:after="0"/>
        <w:ind w:left="0"/>
        <w:jc w:val="both"/>
      </w:pPr>
      <w:r>
        <w:rPr>
          <w:rFonts w:ascii="Times New Roman"/>
          <w:b w:val="false"/>
          <w:i w:val="false"/>
          <w:color w:val="000000"/>
          <w:sz w:val="28"/>
        </w:rPr>
        <w:t>
      Организуя крупные мероприятия, Общество играет ключевую роль в развитии различных сфер жизни и деятельности страны, способствуя ее прогрессу и укреплению статуса на мировой арене.</w:t>
      </w:r>
    </w:p>
    <w:bookmarkEnd w:id="269"/>
    <w:bookmarkStart w:name="z289" w:id="270"/>
    <w:p>
      <w:pPr>
        <w:spacing w:after="0"/>
        <w:ind w:left="0"/>
        <w:jc w:val="both"/>
      </w:pPr>
      <w:r>
        <w:rPr>
          <w:rFonts w:ascii="Times New Roman"/>
          <w:b w:val="false"/>
          <w:i w:val="false"/>
          <w:color w:val="000000"/>
          <w:sz w:val="28"/>
        </w:rPr>
        <w:t>
      Обладая обширным опытом и компетенциями по проведению крупных международных КВМ, Общество может взять на себя роль центра компетенций и экспертизы в этой области для казахстанских государственных и квазигосударственных структур. В частности, Общество порядка 10 лет успешно использует свой опыт и компетенции для реализации задач по обеспечению участия Казахстана на международных и специализированных выставках EXPO 2015 Milano, EXPO 2016 Antalya, EXPO 2017 Astana, EXPO 2020 Dubai.</w:t>
      </w:r>
    </w:p>
    <w:bookmarkEnd w:id="270"/>
    <w:bookmarkStart w:name="z290" w:id="271"/>
    <w:p>
      <w:pPr>
        <w:spacing w:after="0"/>
        <w:ind w:left="0"/>
        <w:jc w:val="both"/>
      </w:pPr>
      <w:r>
        <w:rPr>
          <w:rFonts w:ascii="Times New Roman"/>
          <w:b w:val="false"/>
          <w:i w:val="false"/>
          <w:color w:val="000000"/>
          <w:sz w:val="28"/>
        </w:rPr>
        <w:t xml:space="preserve">
      Для Общества задача по участию в международных выставках EXPO заключается во взаимодействии с государственными органами, строительстве/аренде казахстанского павильона, организации площадок для проведения выставок, презентаций, демонстраций, переговоров и встреч с потенциальными партнерами и инвесторами, а также деловых форумов и конференций. Участие в международных выставках EXPO способствует увеличению имиджа страны на мировом рынке, расширению ее контактной сети и возможностей для дальнейшего развития и роста. </w:t>
      </w:r>
    </w:p>
    <w:bookmarkEnd w:id="271"/>
    <w:bookmarkStart w:name="z291" w:id="272"/>
    <w:p>
      <w:pPr>
        <w:spacing w:after="0"/>
        <w:ind w:left="0"/>
        <w:jc w:val="both"/>
      </w:pPr>
      <w:r>
        <w:rPr>
          <w:rFonts w:ascii="Times New Roman"/>
          <w:b w:val="false"/>
          <w:i w:val="false"/>
          <w:color w:val="000000"/>
          <w:sz w:val="28"/>
        </w:rPr>
        <w:t xml:space="preserve">
      Международные выставки EXPO предоставляют уникальную возможность презентовать отечественные разработки, исследования и технологии, а также установить деловые связи с представителями других мировых компаний, правительственных структур и организаций. </w:t>
      </w:r>
    </w:p>
    <w:bookmarkEnd w:id="272"/>
    <w:bookmarkStart w:name="z292" w:id="273"/>
    <w:p>
      <w:pPr>
        <w:spacing w:after="0"/>
        <w:ind w:left="0"/>
        <w:jc w:val="both"/>
      </w:pPr>
      <w:r>
        <w:rPr>
          <w:rFonts w:ascii="Times New Roman"/>
          <w:b w:val="false"/>
          <w:i w:val="false"/>
          <w:color w:val="000000"/>
          <w:sz w:val="28"/>
        </w:rPr>
        <w:t>
      В рамках реализации данной задачи Общество ожидает следующие положительные результаты:</w:t>
      </w:r>
    </w:p>
    <w:bookmarkEnd w:id="273"/>
    <w:bookmarkStart w:name="z293" w:id="274"/>
    <w:p>
      <w:pPr>
        <w:spacing w:after="0"/>
        <w:ind w:left="0"/>
        <w:jc w:val="both"/>
      </w:pPr>
      <w:r>
        <w:rPr>
          <w:rFonts w:ascii="Times New Roman"/>
          <w:b w:val="false"/>
          <w:i w:val="false"/>
          <w:color w:val="000000"/>
          <w:sz w:val="28"/>
        </w:rPr>
        <w:t>
      1) продвижение казахстанского бизнес-бренда, продуктов и услуг на мировой арене, установление новых контактов, привлечение потенциальных клиентов и инвесторов, а также демонстрация инноваций и достижений страны в различных отраслях;</w:t>
      </w:r>
    </w:p>
    <w:bookmarkEnd w:id="274"/>
    <w:bookmarkStart w:name="z294" w:id="275"/>
    <w:p>
      <w:pPr>
        <w:spacing w:after="0"/>
        <w:ind w:left="0"/>
        <w:jc w:val="both"/>
      </w:pPr>
      <w:r>
        <w:rPr>
          <w:rFonts w:ascii="Times New Roman"/>
          <w:b w:val="false"/>
          <w:i w:val="false"/>
          <w:color w:val="000000"/>
          <w:sz w:val="28"/>
        </w:rPr>
        <w:t>
      2) заключение казахстанскими компаниями деловых соглашений и меморандумов о сотрудничестве в различных сферах экономики;</w:t>
      </w:r>
    </w:p>
    <w:bookmarkEnd w:id="275"/>
    <w:bookmarkStart w:name="z295" w:id="276"/>
    <w:p>
      <w:pPr>
        <w:spacing w:after="0"/>
        <w:ind w:left="0"/>
        <w:jc w:val="both"/>
      </w:pPr>
      <w:r>
        <w:rPr>
          <w:rFonts w:ascii="Times New Roman"/>
          <w:b w:val="false"/>
          <w:i w:val="false"/>
          <w:color w:val="000000"/>
          <w:sz w:val="28"/>
        </w:rPr>
        <w:t>
      3) установление и укрепление казахстанских деловых связей с представителями других мировых компаний, правительственных структур и организаций.</w:t>
      </w:r>
    </w:p>
    <w:bookmarkEnd w:id="276"/>
    <w:p>
      <w:pPr>
        <w:spacing w:after="0"/>
        <w:ind w:left="0"/>
        <w:jc w:val="both"/>
      </w:pPr>
      <w:r>
        <w:rPr>
          <w:rFonts w:ascii="Times New Roman"/>
          <w:b/>
          <w:i w:val="false"/>
          <w:color w:val="000000"/>
          <w:sz w:val="28"/>
        </w:rPr>
        <w:t>2.1.2. Управление площадками для КВМ, объектами и имуществом</w:t>
      </w:r>
    </w:p>
    <w:bookmarkStart w:name="z297" w:id="277"/>
    <w:p>
      <w:pPr>
        <w:spacing w:after="0"/>
        <w:ind w:left="0"/>
        <w:jc w:val="both"/>
      </w:pPr>
      <w:r>
        <w:rPr>
          <w:rFonts w:ascii="Times New Roman"/>
          <w:b w:val="false"/>
          <w:i w:val="false"/>
          <w:color w:val="000000"/>
          <w:sz w:val="28"/>
        </w:rPr>
        <w:t>
      В рамках анализа деятельности в области КВМ были выявлены два вида деятельности: проведение КВМ и предоставление выставочных площадей в аренду другим игрокам на рынке КВМ.</w:t>
      </w:r>
    </w:p>
    <w:bookmarkEnd w:id="277"/>
    <w:bookmarkStart w:name="z298" w:id="278"/>
    <w:p>
      <w:pPr>
        <w:spacing w:after="0"/>
        <w:ind w:left="0"/>
        <w:jc w:val="both"/>
      </w:pPr>
      <w:r>
        <w:rPr>
          <w:rFonts w:ascii="Times New Roman"/>
          <w:b w:val="false"/>
          <w:i w:val="false"/>
          <w:color w:val="000000"/>
          <w:sz w:val="28"/>
        </w:rPr>
        <w:t xml:space="preserve">
      Общество обладает необходимой инфраструктурой и компетенциями для проведения крупных КВМ на высоком уровне, фокусируется на проведении крупных мероприятий для государственных и квазигосударственных учреждений. </w:t>
      </w:r>
    </w:p>
    <w:bookmarkEnd w:id="278"/>
    <w:bookmarkStart w:name="z299" w:id="279"/>
    <w:p>
      <w:pPr>
        <w:spacing w:after="0"/>
        <w:ind w:left="0"/>
        <w:jc w:val="both"/>
      </w:pPr>
      <w:r>
        <w:rPr>
          <w:rFonts w:ascii="Times New Roman"/>
          <w:b w:val="false"/>
          <w:i w:val="false"/>
          <w:color w:val="000000"/>
          <w:sz w:val="28"/>
        </w:rPr>
        <w:t>
      Для реализации задачи по управлению площадками для КВМ необходимо осуществить следующие меры:</w:t>
      </w:r>
    </w:p>
    <w:bookmarkEnd w:id="279"/>
    <w:bookmarkStart w:name="z300" w:id="280"/>
    <w:p>
      <w:pPr>
        <w:spacing w:after="0"/>
        <w:ind w:left="0"/>
        <w:jc w:val="both"/>
      </w:pPr>
      <w:r>
        <w:rPr>
          <w:rFonts w:ascii="Times New Roman"/>
          <w:b w:val="false"/>
          <w:i w:val="false"/>
          <w:color w:val="000000"/>
          <w:sz w:val="28"/>
        </w:rPr>
        <w:t>
      1) эффективно управлять портфелем мероприятий, проводимых и финансируемых из различных источников и мероприятий, входящих в ассоциацию UFI (Мировая ассоциация выставочной индустрии);</w:t>
      </w:r>
    </w:p>
    <w:bookmarkEnd w:id="280"/>
    <w:bookmarkStart w:name="z301" w:id="281"/>
    <w:p>
      <w:pPr>
        <w:spacing w:after="0"/>
        <w:ind w:left="0"/>
        <w:jc w:val="both"/>
      </w:pPr>
      <w:r>
        <w:rPr>
          <w:rFonts w:ascii="Times New Roman"/>
          <w:b w:val="false"/>
          <w:i w:val="false"/>
          <w:color w:val="000000"/>
          <w:sz w:val="28"/>
        </w:rPr>
        <w:t xml:space="preserve">
      2) обеспечивать пресс-релизы для маркетинговых и рекламных кампаний по привлечению большего числа организаторов мероприятий и участников; </w:t>
      </w:r>
    </w:p>
    <w:bookmarkEnd w:id="281"/>
    <w:bookmarkStart w:name="z302" w:id="282"/>
    <w:p>
      <w:pPr>
        <w:spacing w:after="0"/>
        <w:ind w:left="0"/>
        <w:jc w:val="both"/>
      </w:pPr>
      <w:r>
        <w:rPr>
          <w:rFonts w:ascii="Times New Roman"/>
          <w:b w:val="false"/>
          <w:i w:val="false"/>
          <w:color w:val="000000"/>
          <w:sz w:val="28"/>
        </w:rPr>
        <w:t>
      3) обеспечивать гибкую ценовую политику в целях повышения спроса на услуги Общества;</w:t>
      </w:r>
    </w:p>
    <w:bookmarkEnd w:id="282"/>
    <w:bookmarkStart w:name="z303" w:id="283"/>
    <w:p>
      <w:pPr>
        <w:spacing w:after="0"/>
        <w:ind w:left="0"/>
        <w:jc w:val="both"/>
      </w:pPr>
      <w:r>
        <w:rPr>
          <w:rFonts w:ascii="Times New Roman"/>
          <w:b w:val="false"/>
          <w:i w:val="false"/>
          <w:color w:val="000000"/>
          <w:sz w:val="28"/>
        </w:rPr>
        <w:t>
      4) проводить крупные мероприятия для государственных и квазигосударственных учреждений на государственном и международном уровнях;</w:t>
      </w:r>
    </w:p>
    <w:bookmarkEnd w:id="283"/>
    <w:bookmarkStart w:name="z304" w:id="284"/>
    <w:p>
      <w:pPr>
        <w:spacing w:after="0"/>
        <w:ind w:left="0"/>
        <w:jc w:val="both"/>
      </w:pPr>
      <w:r>
        <w:rPr>
          <w:rFonts w:ascii="Times New Roman"/>
          <w:b w:val="false"/>
          <w:i w:val="false"/>
          <w:color w:val="000000"/>
          <w:sz w:val="28"/>
        </w:rPr>
        <w:t>
      5) устанавливать сотрудничество с ведущими организаторами КВМ Казахстана для предоставления им выставочных площадей в аренду.</w:t>
      </w:r>
    </w:p>
    <w:bookmarkEnd w:id="284"/>
    <w:bookmarkStart w:name="z305" w:id="285"/>
    <w:p>
      <w:pPr>
        <w:spacing w:after="0"/>
        <w:ind w:left="0"/>
        <w:jc w:val="both"/>
      </w:pPr>
      <w:r>
        <w:rPr>
          <w:rFonts w:ascii="Times New Roman"/>
          <w:b w:val="false"/>
          <w:i w:val="false"/>
          <w:color w:val="000000"/>
          <w:sz w:val="28"/>
        </w:rPr>
        <w:t>
      В рамках реализации данных мер Общество ожидает следующие положительные эффекты:</w:t>
      </w:r>
    </w:p>
    <w:bookmarkEnd w:id="285"/>
    <w:bookmarkStart w:name="z306" w:id="286"/>
    <w:p>
      <w:pPr>
        <w:spacing w:after="0"/>
        <w:ind w:left="0"/>
        <w:jc w:val="both"/>
      </w:pPr>
      <w:r>
        <w:rPr>
          <w:rFonts w:ascii="Times New Roman"/>
          <w:b w:val="false"/>
          <w:i w:val="false"/>
          <w:color w:val="000000"/>
          <w:sz w:val="28"/>
        </w:rPr>
        <w:t>
      увеличение общей выручки Общества;</w:t>
      </w:r>
    </w:p>
    <w:bookmarkEnd w:id="286"/>
    <w:bookmarkStart w:name="z307" w:id="287"/>
    <w:p>
      <w:pPr>
        <w:spacing w:after="0"/>
        <w:ind w:left="0"/>
        <w:jc w:val="both"/>
      </w:pPr>
      <w:r>
        <w:rPr>
          <w:rFonts w:ascii="Times New Roman"/>
          <w:b w:val="false"/>
          <w:i w:val="false"/>
          <w:color w:val="000000"/>
          <w:sz w:val="28"/>
        </w:rPr>
        <w:t>
      увеличение занятости площадей для КВМ;</w:t>
      </w:r>
    </w:p>
    <w:bookmarkEnd w:id="287"/>
    <w:bookmarkStart w:name="z308" w:id="288"/>
    <w:p>
      <w:pPr>
        <w:spacing w:after="0"/>
        <w:ind w:left="0"/>
        <w:jc w:val="both"/>
      </w:pPr>
      <w:r>
        <w:rPr>
          <w:rFonts w:ascii="Times New Roman"/>
          <w:b w:val="false"/>
          <w:i w:val="false"/>
          <w:color w:val="000000"/>
          <w:sz w:val="28"/>
        </w:rPr>
        <w:t>
      привлечение новых организаторов и участников;</w:t>
      </w:r>
    </w:p>
    <w:bookmarkEnd w:id="288"/>
    <w:bookmarkStart w:name="z309" w:id="289"/>
    <w:p>
      <w:pPr>
        <w:spacing w:after="0"/>
        <w:ind w:left="0"/>
        <w:jc w:val="both"/>
      </w:pPr>
      <w:r>
        <w:rPr>
          <w:rFonts w:ascii="Times New Roman"/>
          <w:b w:val="false"/>
          <w:i w:val="false"/>
          <w:color w:val="000000"/>
          <w:sz w:val="28"/>
        </w:rPr>
        <w:t>
      укрепление репутации страны и привлечение партнеров;</w:t>
      </w:r>
    </w:p>
    <w:bookmarkEnd w:id="289"/>
    <w:bookmarkStart w:name="z310" w:id="290"/>
    <w:p>
      <w:pPr>
        <w:spacing w:after="0"/>
        <w:ind w:left="0"/>
        <w:jc w:val="both"/>
      </w:pPr>
      <w:r>
        <w:rPr>
          <w:rFonts w:ascii="Times New Roman"/>
          <w:b w:val="false"/>
          <w:i w:val="false"/>
          <w:color w:val="000000"/>
          <w:sz w:val="28"/>
        </w:rPr>
        <w:t xml:space="preserve">
      развитие выставочной индустрии в Казахстане; </w:t>
      </w:r>
    </w:p>
    <w:bookmarkEnd w:id="290"/>
    <w:bookmarkStart w:name="z311" w:id="291"/>
    <w:p>
      <w:pPr>
        <w:spacing w:after="0"/>
        <w:ind w:left="0"/>
        <w:jc w:val="both"/>
      </w:pPr>
      <w:r>
        <w:rPr>
          <w:rFonts w:ascii="Times New Roman"/>
          <w:b w:val="false"/>
          <w:i w:val="false"/>
          <w:color w:val="000000"/>
          <w:sz w:val="28"/>
        </w:rPr>
        <w:t>
      увеличение портфеля мероприятий в долгосрочной перспективе.</w:t>
      </w:r>
    </w:p>
    <w:bookmarkEnd w:id="291"/>
    <w:bookmarkStart w:name="z312" w:id="292"/>
    <w:p>
      <w:pPr>
        <w:spacing w:after="0"/>
        <w:ind w:left="0"/>
        <w:jc w:val="both"/>
      </w:pPr>
      <w:r>
        <w:rPr>
          <w:rFonts w:ascii="Times New Roman"/>
          <w:b w:val="false"/>
          <w:i w:val="false"/>
          <w:color w:val="000000"/>
          <w:sz w:val="28"/>
        </w:rPr>
        <w:t xml:space="preserve">
      Основную долю в структуре доходов Общества составляет выручка от сдачи в аренду коммерческой недвижимости. Большую часть коммерческих площадей занимают якорные арендаторы с государственным участием, такие как МФЦА, Astana Hub, IT-университет и другие. Они являются некоммерческими организациями и финансируются государством, поэтому установление для них рыночных ставок является неактуальным в связи с необходимостью соблюдения баланса интересов квазигосударственных организаций. При этом ставки не должны быть ниже себестоимости, а все тарифы по стоимости аренды недвижимого имущества, принадлежащего на праве собственности Обществу, должны ежегодно утверждаться решением Правления Общества. </w:t>
      </w:r>
    </w:p>
    <w:bookmarkEnd w:id="292"/>
    <w:bookmarkStart w:name="z313" w:id="293"/>
    <w:p>
      <w:pPr>
        <w:spacing w:after="0"/>
        <w:ind w:left="0"/>
        <w:jc w:val="both"/>
      </w:pPr>
      <w:r>
        <w:rPr>
          <w:rFonts w:ascii="Times New Roman"/>
          <w:b w:val="false"/>
          <w:i w:val="false"/>
          <w:color w:val="000000"/>
          <w:sz w:val="28"/>
        </w:rPr>
        <w:t xml:space="preserve">
      Согласно международной практике для увеличения загрузки объектов Общество использует все три модели управления коммерческой недвижимостью. При этом преобладает самостоятельное управление объектами с частичной передачей некоторых функций по модели Property Management. </w:t>
      </w:r>
    </w:p>
    <w:bookmarkEnd w:id="293"/>
    <w:bookmarkStart w:name="z314" w:id="294"/>
    <w:p>
      <w:pPr>
        <w:spacing w:after="0"/>
        <w:ind w:left="0"/>
        <w:jc w:val="both"/>
      </w:pPr>
      <w:r>
        <w:rPr>
          <w:rFonts w:ascii="Times New Roman"/>
          <w:b w:val="false"/>
          <w:i w:val="false"/>
          <w:color w:val="000000"/>
          <w:sz w:val="28"/>
        </w:rPr>
        <w:t xml:space="preserve">
      Данный подход позволяет Обществу держать фокус на создании максимально комфортных условий для арендаторов, устанавливать конкурентные цены на аренду и обеспечивать ежегодный рост доходов (таблица 4). </w:t>
      </w:r>
    </w:p>
    <w:bookmarkEnd w:id="294"/>
    <w:bookmarkStart w:name="z315" w:id="295"/>
    <w:p>
      <w:pPr>
        <w:spacing w:after="0"/>
        <w:ind w:left="0"/>
        <w:jc w:val="both"/>
      </w:pPr>
      <w:r>
        <w:rPr>
          <w:rFonts w:ascii="Times New Roman"/>
          <w:b w:val="false"/>
          <w:i w:val="false"/>
          <w:color w:val="000000"/>
          <w:sz w:val="28"/>
        </w:rPr>
        <w:t>
      Таблица 4. Модель управления коммерческой недвижимостью</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площадь, кв.м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Целесообразная модель 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 management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 management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IT-университет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 management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Коммерческий павильон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 management с частичной передачей функций маркетинга и продаж по модели Property management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 management с частичной передачей функций маркетинга и продаж по модели Property management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Отель Hilton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передача в аутсорсинг по модели Asset Management ввиду не основой деятельности Общества и отсутствием компетенций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 management с частичной передачей функций маркетинга и продаж по модели Property management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МВЦ "EXPO"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 management с частичной передачей функций маркетинга и продаж по модели Property management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паркинг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Facility management с частичной передачей функций маркетинга и продаж по модели Property management </w:t>
            </w:r>
          </w:p>
        </w:tc>
      </w:tr>
    </w:tbl>
    <w:bookmarkStart w:name="z316" w:id="296"/>
    <w:p>
      <w:pPr>
        <w:spacing w:after="0"/>
        <w:ind w:left="0"/>
        <w:jc w:val="both"/>
      </w:pPr>
      <w:r>
        <w:rPr>
          <w:rFonts w:ascii="Times New Roman"/>
          <w:b w:val="false"/>
          <w:i w:val="false"/>
          <w:color w:val="000000"/>
          <w:sz w:val="28"/>
        </w:rPr>
        <w:t>
      В рамках задачи по управлению объектами и имуществом необходимо реализовать ряд мер, а именно:</w:t>
      </w:r>
    </w:p>
    <w:bookmarkEnd w:id="296"/>
    <w:bookmarkStart w:name="z317" w:id="297"/>
    <w:p>
      <w:pPr>
        <w:spacing w:after="0"/>
        <w:ind w:left="0"/>
        <w:jc w:val="both"/>
      </w:pPr>
      <w:r>
        <w:rPr>
          <w:rFonts w:ascii="Times New Roman"/>
          <w:b w:val="false"/>
          <w:i w:val="false"/>
          <w:color w:val="000000"/>
          <w:sz w:val="28"/>
        </w:rPr>
        <w:t xml:space="preserve">
      1) обеспечивать бесперебойное функционирование всех объектов; </w:t>
      </w:r>
    </w:p>
    <w:bookmarkEnd w:id="297"/>
    <w:bookmarkStart w:name="z318" w:id="298"/>
    <w:p>
      <w:pPr>
        <w:spacing w:after="0"/>
        <w:ind w:left="0"/>
        <w:jc w:val="both"/>
      </w:pPr>
      <w:r>
        <w:rPr>
          <w:rFonts w:ascii="Times New Roman"/>
          <w:b w:val="false"/>
          <w:i w:val="false"/>
          <w:color w:val="000000"/>
          <w:sz w:val="28"/>
        </w:rPr>
        <w:t>
      2) управлять дебиторской задолженностью;</w:t>
      </w:r>
    </w:p>
    <w:bookmarkEnd w:id="298"/>
    <w:bookmarkStart w:name="z319" w:id="299"/>
    <w:p>
      <w:pPr>
        <w:spacing w:after="0"/>
        <w:ind w:left="0"/>
        <w:jc w:val="both"/>
      </w:pPr>
      <w:r>
        <w:rPr>
          <w:rFonts w:ascii="Times New Roman"/>
          <w:b w:val="false"/>
          <w:i w:val="false"/>
          <w:color w:val="000000"/>
          <w:sz w:val="28"/>
        </w:rPr>
        <w:t xml:space="preserve">
      3) управлять ставками и условиями аренды с целью недопущения вакантности коммерческой и офисной недвижимости; </w:t>
      </w:r>
    </w:p>
    <w:bookmarkEnd w:id="299"/>
    <w:bookmarkStart w:name="z320" w:id="300"/>
    <w:p>
      <w:pPr>
        <w:spacing w:after="0"/>
        <w:ind w:left="0"/>
        <w:jc w:val="both"/>
      </w:pPr>
      <w:r>
        <w:rPr>
          <w:rFonts w:ascii="Times New Roman"/>
          <w:b w:val="false"/>
          <w:i w:val="false"/>
          <w:color w:val="000000"/>
          <w:sz w:val="28"/>
        </w:rPr>
        <w:t xml:space="preserve">
      4) соблюдать нормативные требования; </w:t>
      </w:r>
    </w:p>
    <w:bookmarkEnd w:id="300"/>
    <w:bookmarkStart w:name="z321" w:id="301"/>
    <w:p>
      <w:pPr>
        <w:spacing w:after="0"/>
        <w:ind w:left="0"/>
        <w:jc w:val="both"/>
      </w:pPr>
      <w:r>
        <w:rPr>
          <w:rFonts w:ascii="Times New Roman"/>
          <w:b w:val="false"/>
          <w:i w:val="false"/>
          <w:color w:val="000000"/>
          <w:sz w:val="28"/>
        </w:rPr>
        <w:t xml:space="preserve">
      5) внедрять международные стандарты управления ISO 55000. </w:t>
      </w:r>
    </w:p>
    <w:bookmarkEnd w:id="301"/>
    <w:bookmarkStart w:name="z322" w:id="302"/>
    <w:p>
      <w:pPr>
        <w:spacing w:after="0"/>
        <w:ind w:left="0"/>
        <w:jc w:val="both"/>
      </w:pPr>
      <w:r>
        <w:rPr>
          <w:rFonts w:ascii="Times New Roman"/>
          <w:b w:val="false"/>
          <w:i w:val="false"/>
          <w:color w:val="000000"/>
          <w:sz w:val="28"/>
        </w:rPr>
        <w:t>
      Ожидаемыми результатами реализации данных мер являются:</w:t>
      </w:r>
    </w:p>
    <w:bookmarkEnd w:id="302"/>
    <w:bookmarkStart w:name="z323" w:id="303"/>
    <w:p>
      <w:pPr>
        <w:spacing w:after="0"/>
        <w:ind w:left="0"/>
        <w:jc w:val="both"/>
      </w:pPr>
      <w:r>
        <w:rPr>
          <w:rFonts w:ascii="Times New Roman"/>
          <w:b w:val="false"/>
          <w:i w:val="false"/>
          <w:color w:val="000000"/>
          <w:sz w:val="28"/>
        </w:rPr>
        <w:t xml:space="preserve">
      1) снижение операционных рисков. </w:t>
      </w:r>
    </w:p>
    <w:bookmarkEnd w:id="303"/>
    <w:bookmarkStart w:name="z324" w:id="304"/>
    <w:p>
      <w:pPr>
        <w:spacing w:after="0"/>
        <w:ind w:left="0"/>
        <w:jc w:val="both"/>
      </w:pPr>
      <w:r>
        <w:rPr>
          <w:rFonts w:ascii="Times New Roman"/>
          <w:b w:val="false"/>
          <w:i w:val="false"/>
          <w:color w:val="000000"/>
          <w:sz w:val="28"/>
        </w:rPr>
        <w:t>
      2) повышение эффективности деятельности Общества в части:</w:t>
      </w:r>
    </w:p>
    <w:bookmarkEnd w:id="304"/>
    <w:bookmarkStart w:name="z325" w:id="305"/>
    <w:p>
      <w:pPr>
        <w:spacing w:after="0"/>
        <w:ind w:left="0"/>
        <w:jc w:val="both"/>
      </w:pPr>
      <w:r>
        <w:rPr>
          <w:rFonts w:ascii="Times New Roman"/>
          <w:b w:val="false"/>
          <w:i w:val="false"/>
          <w:color w:val="000000"/>
          <w:sz w:val="28"/>
        </w:rPr>
        <w:t>
      организации и управления операционной и хозяйственной деятельностью объектов КЦ, МВЦ "EXPO";</w:t>
      </w:r>
    </w:p>
    <w:bookmarkEnd w:id="305"/>
    <w:bookmarkStart w:name="z326" w:id="306"/>
    <w:p>
      <w:pPr>
        <w:spacing w:after="0"/>
        <w:ind w:left="0"/>
        <w:jc w:val="both"/>
      </w:pPr>
      <w:r>
        <w:rPr>
          <w:rFonts w:ascii="Times New Roman"/>
          <w:b w:val="false"/>
          <w:i w:val="false"/>
          <w:color w:val="000000"/>
          <w:sz w:val="28"/>
        </w:rPr>
        <w:t>
      комплексной подготовки и проведения конгрессно-выставочных, культурно-массовых, представительских и иных мероприятий;</w:t>
      </w:r>
    </w:p>
    <w:bookmarkEnd w:id="306"/>
    <w:bookmarkStart w:name="z327" w:id="307"/>
    <w:p>
      <w:pPr>
        <w:spacing w:after="0"/>
        <w:ind w:left="0"/>
        <w:jc w:val="both"/>
      </w:pPr>
      <w:r>
        <w:rPr>
          <w:rFonts w:ascii="Times New Roman"/>
          <w:b w:val="false"/>
          <w:i w:val="false"/>
          <w:color w:val="000000"/>
          <w:sz w:val="28"/>
        </w:rPr>
        <w:t>
      осуществления контроля за надлежащим содержанием и эксплуатацией всех объектов и имущества, расположенного на территории делового центра EXPO.</w:t>
      </w:r>
    </w:p>
    <w:bookmarkEnd w:id="307"/>
    <w:p>
      <w:pPr>
        <w:spacing w:after="0"/>
        <w:ind w:left="0"/>
        <w:jc w:val="both"/>
      </w:pPr>
      <w:r>
        <w:rPr>
          <w:rFonts w:ascii="Times New Roman"/>
          <w:b/>
          <w:i w:val="false"/>
          <w:color w:val="000000"/>
          <w:sz w:val="28"/>
        </w:rPr>
        <w:t>2.1.3. Развитие объектов MICE-туризма (гостиницы "Hilton", МВЦ "EXPO" и КЦ)</w:t>
      </w:r>
    </w:p>
    <w:bookmarkStart w:name="z329" w:id="308"/>
    <w:p>
      <w:pPr>
        <w:spacing w:after="0"/>
        <w:ind w:left="0"/>
        <w:jc w:val="both"/>
      </w:pPr>
      <w:r>
        <w:rPr>
          <w:rFonts w:ascii="Times New Roman"/>
          <w:b w:val="false"/>
          <w:i w:val="false"/>
          <w:color w:val="000000"/>
          <w:sz w:val="28"/>
        </w:rPr>
        <w:t xml:space="preserve">
      Общество ставит перед собой задачу дальнейшего развития объектов MICE-туризма (гостиница "Hilton", МВЦ "EXPO" и КЦ) для организации деловых и корпоративных мероприятий. </w:t>
      </w:r>
    </w:p>
    <w:bookmarkEnd w:id="308"/>
    <w:bookmarkStart w:name="z330" w:id="309"/>
    <w:p>
      <w:pPr>
        <w:spacing w:after="0"/>
        <w:ind w:left="0"/>
        <w:jc w:val="both"/>
      </w:pPr>
      <w:r>
        <w:rPr>
          <w:rFonts w:ascii="Times New Roman"/>
          <w:b w:val="false"/>
          <w:i w:val="false"/>
          <w:color w:val="000000"/>
          <w:sz w:val="28"/>
        </w:rPr>
        <w:t>
      КЦ и МВЦ "EXPO" являются ключевыми агрегаторами событийного ряда для MICE-туристов. Данные объекты стали крупнейшими, современными, уникальными, многофункциональными, международными деловыми площадками. Сейчас здесь проходят мероприятия международного и республиканского масштаба, такие как форумы, конгрессы, выставки и ярмарки. Календарные графики объектов загружены на 80 и более процентов, что позволяет обеспечить их окупаемость (доходность).</w:t>
      </w:r>
    </w:p>
    <w:bookmarkEnd w:id="309"/>
    <w:bookmarkStart w:name="z331" w:id="310"/>
    <w:p>
      <w:pPr>
        <w:spacing w:after="0"/>
        <w:ind w:left="0"/>
        <w:jc w:val="both"/>
      </w:pPr>
      <w:r>
        <w:rPr>
          <w:rFonts w:ascii="Times New Roman"/>
          <w:b w:val="false"/>
          <w:i w:val="false"/>
          <w:color w:val="000000"/>
          <w:sz w:val="28"/>
        </w:rPr>
        <w:t>
      Общество располагает практическим опытом и компетенциями, а также имеет всю необходимую инфраструктуру для проведения MICE-мероприятий на территории Общества.</w:t>
      </w:r>
    </w:p>
    <w:bookmarkEnd w:id="310"/>
    <w:bookmarkStart w:name="z332" w:id="311"/>
    <w:p>
      <w:pPr>
        <w:spacing w:after="0"/>
        <w:ind w:left="0"/>
        <w:jc w:val="both"/>
      </w:pPr>
      <w:r>
        <w:rPr>
          <w:rFonts w:ascii="Times New Roman"/>
          <w:b w:val="false"/>
          <w:i w:val="false"/>
          <w:color w:val="000000"/>
          <w:sz w:val="28"/>
        </w:rPr>
        <w:t>
      Для реализации задачи по развитию объектов MICE-туризма, таких как гостиница "Hilton", МВЦ "EXPO" и КЦ, будут приняты следующие меры:</w:t>
      </w:r>
    </w:p>
    <w:bookmarkEnd w:id="311"/>
    <w:bookmarkStart w:name="z333" w:id="312"/>
    <w:p>
      <w:pPr>
        <w:spacing w:after="0"/>
        <w:ind w:left="0"/>
        <w:jc w:val="both"/>
      </w:pPr>
      <w:r>
        <w:rPr>
          <w:rFonts w:ascii="Times New Roman"/>
          <w:b w:val="false"/>
          <w:i w:val="false"/>
          <w:color w:val="000000"/>
          <w:sz w:val="28"/>
        </w:rPr>
        <w:t>
      1) проведение масштабных маркетинговых кампаний для привлечения внимания туристов и корпоративных клиентов;</w:t>
      </w:r>
    </w:p>
    <w:bookmarkEnd w:id="312"/>
    <w:bookmarkStart w:name="z334" w:id="313"/>
    <w:p>
      <w:pPr>
        <w:spacing w:after="0"/>
        <w:ind w:left="0"/>
        <w:jc w:val="both"/>
      </w:pPr>
      <w:r>
        <w:rPr>
          <w:rFonts w:ascii="Times New Roman"/>
          <w:b w:val="false"/>
          <w:i w:val="false"/>
          <w:color w:val="000000"/>
          <w:sz w:val="28"/>
        </w:rPr>
        <w:t xml:space="preserve">
      2) организация промо-мероприятий и выставок для презентации возможностей данных объектов; </w:t>
      </w:r>
    </w:p>
    <w:bookmarkEnd w:id="313"/>
    <w:bookmarkStart w:name="z335" w:id="314"/>
    <w:p>
      <w:pPr>
        <w:spacing w:after="0"/>
        <w:ind w:left="0"/>
        <w:jc w:val="both"/>
      </w:pPr>
      <w:r>
        <w:rPr>
          <w:rFonts w:ascii="Times New Roman"/>
          <w:b w:val="false"/>
          <w:i w:val="false"/>
          <w:color w:val="000000"/>
          <w:sz w:val="28"/>
        </w:rPr>
        <w:t xml:space="preserve">
      3) активное взаимодействие с туроператорами и агентствами по организации мероприятий; </w:t>
      </w:r>
    </w:p>
    <w:bookmarkEnd w:id="314"/>
    <w:bookmarkStart w:name="z336" w:id="315"/>
    <w:p>
      <w:pPr>
        <w:spacing w:after="0"/>
        <w:ind w:left="0"/>
        <w:jc w:val="both"/>
      </w:pPr>
      <w:r>
        <w:rPr>
          <w:rFonts w:ascii="Times New Roman"/>
          <w:b w:val="false"/>
          <w:i w:val="false"/>
          <w:color w:val="000000"/>
          <w:sz w:val="28"/>
        </w:rPr>
        <w:t>
      4) обеспечение качественного сервиса и развитие инфраструктуры для удобства посетителей;</w:t>
      </w:r>
    </w:p>
    <w:bookmarkEnd w:id="315"/>
    <w:bookmarkStart w:name="z337" w:id="316"/>
    <w:p>
      <w:pPr>
        <w:spacing w:after="0"/>
        <w:ind w:left="0"/>
        <w:jc w:val="both"/>
      </w:pPr>
      <w:r>
        <w:rPr>
          <w:rFonts w:ascii="Times New Roman"/>
          <w:b w:val="false"/>
          <w:i w:val="false"/>
          <w:color w:val="000000"/>
          <w:sz w:val="28"/>
        </w:rPr>
        <w:t>
      5) проведение мероприятий MICE направленности.</w:t>
      </w:r>
    </w:p>
    <w:bookmarkEnd w:id="316"/>
    <w:bookmarkStart w:name="z338" w:id="317"/>
    <w:p>
      <w:pPr>
        <w:spacing w:after="0"/>
        <w:ind w:left="0"/>
        <w:jc w:val="both"/>
      </w:pPr>
      <w:r>
        <w:rPr>
          <w:rFonts w:ascii="Times New Roman"/>
          <w:b w:val="false"/>
          <w:i w:val="false"/>
          <w:color w:val="000000"/>
          <w:sz w:val="28"/>
        </w:rPr>
        <w:t>
      В рамках реализации данных мер Общество ожидает следующие положительные эффекты:</w:t>
      </w:r>
    </w:p>
    <w:bookmarkEnd w:id="317"/>
    <w:bookmarkStart w:name="z339" w:id="318"/>
    <w:p>
      <w:pPr>
        <w:spacing w:after="0"/>
        <w:ind w:left="0"/>
        <w:jc w:val="both"/>
      </w:pPr>
      <w:r>
        <w:rPr>
          <w:rFonts w:ascii="Times New Roman"/>
          <w:b w:val="false"/>
          <w:i w:val="false"/>
          <w:color w:val="000000"/>
          <w:sz w:val="28"/>
        </w:rPr>
        <w:t>
      1) стимулирование развития туристической инфраструктуры;</w:t>
      </w:r>
    </w:p>
    <w:bookmarkEnd w:id="318"/>
    <w:bookmarkStart w:name="z340" w:id="319"/>
    <w:p>
      <w:pPr>
        <w:spacing w:after="0"/>
        <w:ind w:left="0"/>
        <w:jc w:val="both"/>
      </w:pPr>
      <w:r>
        <w:rPr>
          <w:rFonts w:ascii="Times New Roman"/>
          <w:b w:val="false"/>
          <w:i w:val="false"/>
          <w:color w:val="000000"/>
          <w:sz w:val="28"/>
        </w:rPr>
        <w:t>
      2) поступление доходов в виде добавленной стоимости на сумму 15 млрд тенге в год без учета мультипликативного эффекта от сферы услуг (гостиниц, ресторанов и прочие) на развитие MICE-туризма столицы;</w:t>
      </w:r>
    </w:p>
    <w:bookmarkEnd w:id="319"/>
    <w:bookmarkStart w:name="z341" w:id="320"/>
    <w:p>
      <w:pPr>
        <w:spacing w:after="0"/>
        <w:ind w:left="0"/>
        <w:jc w:val="both"/>
      </w:pPr>
      <w:r>
        <w:rPr>
          <w:rFonts w:ascii="Times New Roman"/>
          <w:b w:val="false"/>
          <w:i w:val="false"/>
          <w:color w:val="000000"/>
          <w:sz w:val="28"/>
        </w:rPr>
        <w:t>
      3) создание новых рабочих мест;</w:t>
      </w:r>
    </w:p>
    <w:bookmarkEnd w:id="320"/>
    <w:bookmarkStart w:name="z342" w:id="321"/>
    <w:p>
      <w:pPr>
        <w:spacing w:after="0"/>
        <w:ind w:left="0"/>
        <w:jc w:val="both"/>
      </w:pPr>
      <w:r>
        <w:rPr>
          <w:rFonts w:ascii="Times New Roman"/>
          <w:b w:val="false"/>
          <w:i w:val="false"/>
          <w:color w:val="000000"/>
          <w:sz w:val="28"/>
        </w:rPr>
        <w:t xml:space="preserve">
      4) рост экономики; </w:t>
      </w:r>
    </w:p>
    <w:bookmarkEnd w:id="321"/>
    <w:bookmarkStart w:name="z343" w:id="322"/>
    <w:p>
      <w:pPr>
        <w:spacing w:after="0"/>
        <w:ind w:left="0"/>
        <w:jc w:val="both"/>
      </w:pPr>
      <w:r>
        <w:rPr>
          <w:rFonts w:ascii="Times New Roman"/>
          <w:b w:val="false"/>
          <w:i w:val="false"/>
          <w:color w:val="000000"/>
          <w:sz w:val="28"/>
        </w:rPr>
        <w:t>
      5) укрепление имиджа страны как привлекательного места для деловых и культурных событий;</w:t>
      </w:r>
    </w:p>
    <w:bookmarkEnd w:id="322"/>
    <w:bookmarkStart w:name="z344" w:id="323"/>
    <w:p>
      <w:pPr>
        <w:spacing w:after="0"/>
        <w:ind w:left="0"/>
        <w:jc w:val="both"/>
      </w:pPr>
      <w:r>
        <w:rPr>
          <w:rFonts w:ascii="Times New Roman"/>
          <w:b w:val="false"/>
          <w:i w:val="false"/>
          <w:color w:val="000000"/>
          <w:sz w:val="28"/>
        </w:rPr>
        <w:t>
      6) привлечение инвестиций;</w:t>
      </w:r>
    </w:p>
    <w:bookmarkEnd w:id="323"/>
    <w:bookmarkStart w:name="z345" w:id="324"/>
    <w:p>
      <w:pPr>
        <w:spacing w:after="0"/>
        <w:ind w:left="0"/>
        <w:jc w:val="both"/>
      </w:pPr>
      <w:r>
        <w:rPr>
          <w:rFonts w:ascii="Times New Roman"/>
          <w:b w:val="false"/>
          <w:i w:val="false"/>
          <w:color w:val="000000"/>
          <w:sz w:val="28"/>
        </w:rPr>
        <w:t>
      7) возможности обмена знаниями и опытом международного масштаба;</w:t>
      </w:r>
    </w:p>
    <w:bookmarkEnd w:id="324"/>
    <w:bookmarkStart w:name="z346" w:id="325"/>
    <w:p>
      <w:pPr>
        <w:spacing w:after="0"/>
        <w:ind w:left="0"/>
        <w:jc w:val="both"/>
      </w:pPr>
      <w:r>
        <w:rPr>
          <w:rFonts w:ascii="Times New Roman"/>
          <w:b w:val="false"/>
          <w:i w:val="false"/>
          <w:color w:val="000000"/>
          <w:sz w:val="28"/>
        </w:rPr>
        <w:t xml:space="preserve">
      8) развитие столицы, как делового центра страны; </w:t>
      </w:r>
    </w:p>
    <w:bookmarkEnd w:id="325"/>
    <w:bookmarkStart w:name="z347" w:id="326"/>
    <w:p>
      <w:pPr>
        <w:spacing w:after="0"/>
        <w:ind w:left="0"/>
        <w:jc w:val="both"/>
      </w:pPr>
      <w:r>
        <w:rPr>
          <w:rFonts w:ascii="Times New Roman"/>
          <w:b w:val="false"/>
          <w:i w:val="false"/>
          <w:color w:val="000000"/>
          <w:sz w:val="28"/>
        </w:rPr>
        <w:t>
      9) повышение статуса проводимых деловых мероприятий.</w:t>
      </w:r>
    </w:p>
    <w:bookmarkEnd w:id="326"/>
    <w:p>
      <w:pPr>
        <w:spacing w:after="0"/>
        <w:ind w:left="0"/>
        <w:jc w:val="both"/>
      </w:pPr>
      <w:r>
        <w:rPr>
          <w:rFonts w:ascii="Times New Roman"/>
          <w:b/>
          <w:i w:val="false"/>
          <w:color w:val="000000"/>
          <w:sz w:val="28"/>
        </w:rPr>
        <w:t xml:space="preserve">2.2. Цель № 3: обеспечение операционной безубыточности Общества </w:t>
      </w:r>
    </w:p>
    <w:bookmarkStart w:name="z349" w:id="327"/>
    <w:p>
      <w:pPr>
        <w:spacing w:after="0"/>
        <w:ind w:left="0"/>
        <w:jc w:val="both"/>
      </w:pPr>
      <w:r>
        <w:rPr>
          <w:rFonts w:ascii="Times New Roman"/>
          <w:b w:val="false"/>
          <w:i w:val="false"/>
          <w:color w:val="000000"/>
          <w:sz w:val="28"/>
        </w:rPr>
        <w:t>
      Операционная безубыточность Общества – это стратегическая цель, направленная на обеспечение устойчивого и эффективного функционирования Общества без убытков в ходе основной деятельности. При этом доходы от операционной деятельности должны полностью покрывать затраты, связанные с предоставлением услуг, и обеспечивать достаточный уровень прибыли для дальнейшего развития и инвестирования. Для достижения данной цели Обществу необходимы строгое контролирование расходов, оптимизация бизнес-процессов, улучшение качества услуг.</w:t>
      </w:r>
    </w:p>
    <w:bookmarkEnd w:id="327"/>
    <w:bookmarkStart w:name="z350" w:id="328"/>
    <w:p>
      <w:pPr>
        <w:spacing w:after="0"/>
        <w:ind w:left="0"/>
        <w:jc w:val="both"/>
      </w:pPr>
      <w:r>
        <w:rPr>
          <w:rFonts w:ascii="Times New Roman"/>
          <w:b w:val="false"/>
          <w:i w:val="false"/>
          <w:color w:val="000000"/>
          <w:sz w:val="28"/>
        </w:rPr>
        <w:t xml:space="preserve">
      Операционная безубыточность также является важным показателем финансовой устойчивости и конкурентоспособности Общества на рынке, демонстрируя инвесторам, партнерам и заинтересованным сторонам, что бизнес способен обеспечить стабильный доход без необходимости прибегать к дополнительным источникам финансирования или кредитованию. В конечном итоге достижение операционной безубыточности Общества способствует повышению доверия к компании, укреплению ее репутации на рынке и созданию благоприятных условий для долгосрочного развития и процветания. </w:t>
      </w:r>
    </w:p>
    <w:bookmarkEnd w:id="328"/>
    <w:bookmarkStart w:name="z351" w:id="329"/>
    <w:p>
      <w:pPr>
        <w:spacing w:after="0"/>
        <w:ind w:left="0"/>
        <w:jc w:val="both"/>
      </w:pPr>
      <w:r>
        <w:rPr>
          <w:rFonts w:ascii="Times New Roman"/>
          <w:b w:val="false"/>
          <w:i w:val="false"/>
          <w:color w:val="000000"/>
          <w:sz w:val="28"/>
        </w:rPr>
        <w:t>
      Общество придерживается принципа устойчивости и ответственности в управлении своим имуществом. В соответствии с этим, Общество принимает на себя обязательство не осуществлять отчуждение своих земельных участков и объектов, в том числе по поручениям вышестоящих органов принудительную (силовую) передачу земельных участков и объектов третьим лицам. Данное решение основано на принципах устойчивого развития, предотвращения нецелевого использования земель и объектов, а также возможных экологических, социальных и правовых рисков. Запрет на отчуждение земель и объектов выражает стремление Общества сохранить уникальное наследие ЕХРО в соответствии с принципами долгосрочной устойчивости и достижению безубыточности.</w:t>
      </w:r>
    </w:p>
    <w:bookmarkEnd w:id="329"/>
    <w:bookmarkStart w:name="z352" w:id="330"/>
    <w:p>
      <w:pPr>
        <w:spacing w:after="0"/>
        <w:ind w:left="0"/>
        <w:jc w:val="both"/>
      </w:pPr>
      <w:r>
        <w:rPr>
          <w:rFonts w:ascii="Times New Roman"/>
          <w:b w:val="false"/>
          <w:i w:val="false"/>
          <w:color w:val="000000"/>
          <w:sz w:val="28"/>
        </w:rPr>
        <w:t>
      Для достижения данной цели необходимо выполнение следующей задачи:</w:t>
      </w:r>
    </w:p>
    <w:bookmarkEnd w:id="330"/>
    <w:p>
      <w:pPr>
        <w:spacing w:after="0"/>
        <w:ind w:left="0"/>
        <w:jc w:val="both"/>
      </w:pPr>
      <w:r>
        <w:rPr>
          <w:rFonts w:ascii="Times New Roman"/>
          <w:b/>
          <w:i w:val="false"/>
          <w:color w:val="000000"/>
          <w:sz w:val="28"/>
        </w:rPr>
        <w:t xml:space="preserve">2.2.1. Обеспечение финансовой устойчивости </w:t>
      </w:r>
    </w:p>
    <w:bookmarkStart w:name="z354" w:id="331"/>
    <w:p>
      <w:pPr>
        <w:spacing w:after="0"/>
        <w:ind w:left="0"/>
        <w:jc w:val="both"/>
      </w:pPr>
      <w:r>
        <w:rPr>
          <w:rFonts w:ascii="Times New Roman"/>
          <w:b w:val="false"/>
          <w:i w:val="false"/>
          <w:color w:val="000000"/>
          <w:sz w:val="28"/>
        </w:rPr>
        <w:t xml:space="preserve">
      Последствия пандемии COVID-19 и замедление темпов роста мировой экономики подчеркивают важность обеспечения финансовой устойчивости Общества, его положения и способности справляться с финансовыми вызовами и неожиданными изменениями во внешней среде. </w:t>
      </w:r>
    </w:p>
    <w:bookmarkEnd w:id="331"/>
    <w:bookmarkStart w:name="z355" w:id="332"/>
    <w:p>
      <w:pPr>
        <w:spacing w:after="0"/>
        <w:ind w:left="0"/>
        <w:jc w:val="both"/>
      </w:pPr>
      <w:r>
        <w:rPr>
          <w:rFonts w:ascii="Times New Roman"/>
          <w:b w:val="false"/>
          <w:i w:val="false"/>
          <w:color w:val="000000"/>
          <w:sz w:val="28"/>
        </w:rPr>
        <w:t>
      Обеспечение финансовой устойчивости Общества повышает доверие инвесторов и кредиторов, что облегчает доступ к финансовым ресурсам, позволяет Обществу эффективнее управлять рисками и преодолевать экономическую нестабильность, сохраняя при этом способность к долгосрочному развитию и росту, создает условия для инвестирования в инновации, расширение бизнеса и привлечение талантливых специалистов, что способствует улучшению конкурентоспособности компании на рынке.</w:t>
      </w:r>
    </w:p>
    <w:bookmarkEnd w:id="332"/>
    <w:bookmarkStart w:name="z356" w:id="333"/>
    <w:p>
      <w:pPr>
        <w:spacing w:after="0"/>
        <w:ind w:left="0"/>
        <w:jc w:val="both"/>
      </w:pPr>
      <w:r>
        <w:rPr>
          <w:rFonts w:ascii="Times New Roman"/>
          <w:b w:val="false"/>
          <w:i w:val="false"/>
          <w:color w:val="000000"/>
          <w:sz w:val="28"/>
        </w:rPr>
        <w:t>
      Реализация задачи по обеспечению финансовой устойчивости Общества включает в себя осуществление следующих мер:</w:t>
      </w:r>
    </w:p>
    <w:bookmarkEnd w:id="333"/>
    <w:bookmarkStart w:name="z357" w:id="334"/>
    <w:p>
      <w:pPr>
        <w:spacing w:after="0"/>
        <w:ind w:left="0"/>
        <w:jc w:val="both"/>
      </w:pPr>
      <w:r>
        <w:rPr>
          <w:rFonts w:ascii="Times New Roman"/>
          <w:b w:val="false"/>
          <w:i w:val="false"/>
          <w:color w:val="000000"/>
          <w:sz w:val="28"/>
        </w:rPr>
        <w:t xml:space="preserve">
      1) формирование резервов и финансового запаса, приносящих инвестиционные доходы и покрывающих операционные расходы, а также позволяющих финансировать бюджеты технологического и инфраструктурного потенциала Общества и новые проекты; </w:t>
      </w:r>
    </w:p>
    <w:bookmarkEnd w:id="334"/>
    <w:bookmarkStart w:name="z358" w:id="335"/>
    <w:p>
      <w:pPr>
        <w:spacing w:after="0"/>
        <w:ind w:left="0"/>
        <w:jc w:val="both"/>
      </w:pPr>
      <w:r>
        <w:rPr>
          <w:rFonts w:ascii="Times New Roman"/>
          <w:b w:val="false"/>
          <w:i w:val="false"/>
          <w:color w:val="000000"/>
          <w:sz w:val="28"/>
        </w:rPr>
        <w:t>
      2) эффективное управление денежными потоками;</w:t>
      </w:r>
    </w:p>
    <w:bookmarkEnd w:id="335"/>
    <w:bookmarkStart w:name="z359" w:id="336"/>
    <w:p>
      <w:pPr>
        <w:spacing w:after="0"/>
        <w:ind w:left="0"/>
        <w:jc w:val="both"/>
      </w:pPr>
      <w:r>
        <w:rPr>
          <w:rFonts w:ascii="Times New Roman"/>
          <w:b w:val="false"/>
          <w:i w:val="false"/>
          <w:color w:val="000000"/>
          <w:sz w:val="28"/>
        </w:rPr>
        <w:t xml:space="preserve">
      3) разнообразие источников финансирования; </w:t>
      </w:r>
    </w:p>
    <w:bookmarkEnd w:id="336"/>
    <w:bookmarkStart w:name="z360" w:id="337"/>
    <w:p>
      <w:pPr>
        <w:spacing w:after="0"/>
        <w:ind w:left="0"/>
        <w:jc w:val="both"/>
      </w:pPr>
      <w:r>
        <w:rPr>
          <w:rFonts w:ascii="Times New Roman"/>
          <w:b w:val="false"/>
          <w:i w:val="false"/>
          <w:color w:val="000000"/>
          <w:sz w:val="28"/>
        </w:rPr>
        <w:t xml:space="preserve">
      4) эффективное управление долгами и кредитами; </w:t>
      </w:r>
    </w:p>
    <w:bookmarkEnd w:id="337"/>
    <w:bookmarkStart w:name="z361" w:id="338"/>
    <w:p>
      <w:pPr>
        <w:spacing w:after="0"/>
        <w:ind w:left="0"/>
        <w:jc w:val="both"/>
      </w:pPr>
      <w:r>
        <w:rPr>
          <w:rFonts w:ascii="Times New Roman"/>
          <w:b w:val="false"/>
          <w:i w:val="false"/>
          <w:color w:val="000000"/>
          <w:sz w:val="28"/>
        </w:rPr>
        <w:t>
      5) обеспечение сокращения расходов;</w:t>
      </w:r>
    </w:p>
    <w:bookmarkEnd w:id="338"/>
    <w:bookmarkStart w:name="z362" w:id="339"/>
    <w:p>
      <w:pPr>
        <w:spacing w:after="0"/>
        <w:ind w:left="0"/>
        <w:jc w:val="both"/>
      </w:pPr>
      <w:r>
        <w:rPr>
          <w:rFonts w:ascii="Times New Roman"/>
          <w:b w:val="false"/>
          <w:i w:val="false"/>
          <w:color w:val="000000"/>
          <w:sz w:val="28"/>
        </w:rPr>
        <w:t>
      6) преобладание тендерного метода закупок;</w:t>
      </w:r>
    </w:p>
    <w:bookmarkEnd w:id="339"/>
    <w:bookmarkStart w:name="z363" w:id="340"/>
    <w:p>
      <w:pPr>
        <w:spacing w:after="0"/>
        <w:ind w:left="0"/>
        <w:jc w:val="both"/>
      </w:pPr>
      <w:r>
        <w:rPr>
          <w:rFonts w:ascii="Times New Roman"/>
          <w:b w:val="false"/>
          <w:i w:val="false"/>
          <w:color w:val="000000"/>
          <w:sz w:val="28"/>
        </w:rPr>
        <w:t xml:space="preserve">
      7) финансовое планирование и прогнозирование; </w:t>
      </w:r>
    </w:p>
    <w:bookmarkEnd w:id="340"/>
    <w:bookmarkStart w:name="z364" w:id="341"/>
    <w:p>
      <w:pPr>
        <w:spacing w:after="0"/>
        <w:ind w:left="0"/>
        <w:jc w:val="both"/>
      </w:pPr>
      <w:r>
        <w:rPr>
          <w:rFonts w:ascii="Times New Roman"/>
          <w:b w:val="false"/>
          <w:i w:val="false"/>
          <w:color w:val="000000"/>
          <w:sz w:val="28"/>
        </w:rPr>
        <w:t>
      8) обеспечение прозрачности финансовой отчетности.</w:t>
      </w:r>
    </w:p>
    <w:bookmarkEnd w:id="341"/>
    <w:bookmarkStart w:name="z365" w:id="342"/>
    <w:p>
      <w:pPr>
        <w:spacing w:after="0"/>
        <w:ind w:left="0"/>
        <w:jc w:val="both"/>
      </w:pPr>
      <w:r>
        <w:rPr>
          <w:rFonts w:ascii="Times New Roman"/>
          <w:b w:val="false"/>
          <w:i w:val="false"/>
          <w:color w:val="000000"/>
          <w:sz w:val="28"/>
        </w:rPr>
        <w:t xml:space="preserve">
      В рамках реализации данных мер Общество ожидает следующие положительные эффекты: </w:t>
      </w:r>
    </w:p>
    <w:bookmarkEnd w:id="342"/>
    <w:bookmarkStart w:name="z366" w:id="343"/>
    <w:p>
      <w:pPr>
        <w:spacing w:after="0"/>
        <w:ind w:left="0"/>
        <w:jc w:val="both"/>
      </w:pPr>
      <w:r>
        <w:rPr>
          <w:rFonts w:ascii="Times New Roman"/>
          <w:b w:val="false"/>
          <w:i w:val="false"/>
          <w:color w:val="000000"/>
          <w:sz w:val="28"/>
        </w:rPr>
        <w:t xml:space="preserve">
      1) обеспечение надежной основы для устойчивого экономического развития как на уровне Общества, так и государства в целом; </w:t>
      </w:r>
    </w:p>
    <w:bookmarkEnd w:id="343"/>
    <w:bookmarkStart w:name="z367" w:id="344"/>
    <w:p>
      <w:pPr>
        <w:spacing w:after="0"/>
        <w:ind w:left="0"/>
        <w:jc w:val="both"/>
      </w:pPr>
      <w:r>
        <w:rPr>
          <w:rFonts w:ascii="Times New Roman"/>
          <w:b w:val="false"/>
          <w:i w:val="false"/>
          <w:color w:val="000000"/>
          <w:sz w:val="28"/>
        </w:rPr>
        <w:t xml:space="preserve">
      2) уменьшение финансовых рисков; </w:t>
      </w:r>
    </w:p>
    <w:bookmarkEnd w:id="344"/>
    <w:bookmarkStart w:name="z368" w:id="345"/>
    <w:p>
      <w:pPr>
        <w:spacing w:after="0"/>
        <w:ind w:left="0"/>
        <w:jc w:val="both"/>
      </w:pPr>
      <w:r>
        <w:rPr>
          <w:rFonts w:ascii="Times New Roman"/>
          <w:b w:val="false"/>
          <w:i w:val="false"/>
          <w:color w:val="000000"/>
          <w:sz w:val="28"/>
        </w:rPr>
        <w:t>
      3) возможность инвестирования в различные сферы деятельности;</w:t>
      </w:r>
    </w:p>
    <w:bookmarkEnd w:id="345"/>
    <w:bookmarkStart w:name="z369" w:id="346"/>
    <w:p>
      <w:pPr>
        <w:spacing w:after="0"/>
        <w:ind w:left="0"/>
        <w:jc w:val="both"/>
      </w:pPr>
      <w:r>
        <w:rPr>
          <w:rFonts w:ascii="Times New Roman"/>
          <w:b w:val="false"/>
          <w:i w:val="false"/>
          <w:color w:val="000000"/>
          <w:sz w:val="28"/>
        </w:rPr>
        <w:t xml:space="preserve">
      4) высокий уровень доверия со стороны инвесторов; </w:t>
      </w:r>
    </w:p>
    <w:bookmarkEnd w:id="346"/>
    <w:bookmarkStart w:name="z370" w:id="347"/>
    <w:p>
      <w:pPr>
        <w:spacing w:after="0"/>
        <w:ind w:left="0"/>
        <w:jc w:val="both"/>
      </w:pPr>
      <w:r>
        <w:rPr>
          <w:rFonts w:ascii="Times New Roman"/>
          <w:b w:val="false"/>
          <w:i w:val="false"/>
          <w:color w:val="000000"/>
          <w:sz w:val="28"/>
        </w:rPr>
        <w:t xml:space="preserve">
      5) повышение экономического роста в долгосрочной перспективе; </w:t>
      </w:r>
    </w:p>
    <w:bookmarkEnd w:id="347"/>
    <w:bookmarkStart w:name="z371" w:id="348"/>
    <w:p>
      <w:pPr>
        <w:spacing w:after="0"/>
        <w:ind w:left="0"/>
        <w:jc w:val="both"/>
      </w:pPr>
      <w:r>
        <w:rPr>
          <w:rFonts w:ascii="Times New Roman"/>
          <w:b w:val="false"/>
          <w:i w:val="false"/>
          <w:color w:val="000000"/>
          <w:sz w:val="28"/>
        </w:rPr>
        <w:t>
      6) успешную адаптацию к изменчивым рыночным условиям и финансовым вызовам;</w:t>
      </w:r>
    </w:p>
    <w:bookmarkEnd w:id="348"/>
    <w:bookmarkStart w:name="z372" w:id="349"/>
    <w:p>
      <w:pPr>
        <w:spacing w:after="0"/>
        <w:ind w:left="0"/>
        <w:jc w:val="both"/>
      </w:pPr>
      <w:r>
        <w:rPr>
          <w:rFonts w:ascii="Times New Roman"/>
          <w:b w:val="false"/>
          <w:i w:val="false"/>
          <w:color w:val="000000"/>
          <w:sz w:val="28"/>
        </w:rPr>
        <w:t xml:space="preserve">
      7) обеспечение операционной безубыточности Общества. </w:t>
      </w:r>
    </w:p>
    <w:bookmarkEnd w:id="349"/>
    <w:bookmarkStart w:name="z373" w:id="350"/>
    <w:p>
      <w:pPr>
        <w:spacing w:after="0"/>
        <w:ind w:left="0"/>
        <w:jc w:val="both"/>
      </w:pPr>
      <w:r>
        <w:rPr>
          <w:rFonts w:ascii="Times New Roman"/>
          <w:b w:val="false"/>
          <w:i w:val="false"/>
          <w:color w:val="000000"/>
          <w:sz w:val="28"/>
        </w:rPr>
        <w:t>
      Ожидаемыми результатами от реализации стратегического направления "Эффективное управление деятельностью Общества" являются успешное участие Республики Казахстан на международных выставках ЕХРО с проведением не менее 20 деловых и культурных мероприятий на ЕХРО-2030, рост выручки от КВМ, аренды и коммерческих сервисов до 24,8 млрд тенге, увеличение портфеля мероприятий до 427 МIСЕ-мероприятий в год, а также достижение операционной безубыточности до 4 189 млн тенге к 2034 году.</w:t>
      </w:r>
    </w:p>
    <w:bookmarkEnd w:id="350"/>
    <w:p>
      <w:pPr>
        <w:spacing w:after="0"/>
        <w:ind w:left="0"/>
        <w:jc w:val="both"/>
      </w:pPr>
      <w:r>
        <w:rPr>
          <w:rFonts w:ascii="Times New Roman"/>
          <w:b/>
          <w:i w:val="false"/>
          <w:color w:val="000000"/>
          <w:sz w:val="28"/>
        </w:rPr>
        <w:t xml:space="preserve">3. Стратегическое направление: "Устойчивое развитие Общества" </w:t>
      </w:r>
    </w:p>
    <w:bookmarkStart w:name="z375" w:id="351"/>
    <w:p>
      <w:pPr>
        <w:spacing w:after="0"/>
        <w:ind w:left="0"/>
        <w:jc w:val="both"/>
      </w:pPr>
      <w:r>
        <w:rPr>
          <w:rFonts w:ascii="Times New Roman"/>
          <w:b w:val="false"/>
          <w:i w:val="false"/>
          <w:color w:val="000000"/>
          <w:sz w:val="28"/>
        </w:rPr>
        <w:t xml:space="preserve">
      Учитывая происходящие процессы интеграции страны в мировую экономику, принятие стандартов экологической, корпоративной и социальной ответственности является необходимым условием дальнейшего устойчивого развития и роста экономики страны и Общества. </w:t>
      </w:r>
    </w:p>
    <w:bookmarkEnd w:id="351"/>
    <w:bookmarkStart w:name="z376" w:id="352"/>
    <w:p>
      <w:pPr>
        <w:spacing w:after="0"/>
        <w:ind w:left="0"/>
        <w:jc w:val="both"/>
      </w:pPr>
      <w:r>
        <w:rPr>
          <w:rFonts w:ascii="Times New Roman"/>
          <w:b w:val="false"/>
          <w:i w:val="false"/>
          <w:color w:val="000000"/>
          <w:sz w:val="28"/>
        </w:rPr>
        <w:t xml:space="preserve">
      В Стратегии "Казахстан-2050" поставлена задача полностью обновить производственные активы страны в соответствии с новейшими технологическими стандартами, сократить выбросы парниковых газов на 25 %, а также довести долю использования альтернативных и возобновляемых источников энергии в общем объеме энергопотребления до не менее 50 % к 2050 году. </w:t>
      </w:r>
    </w:p>
    <w:bookmarkEnd w:id="352"/>
    <w:bookmarkStart w:name="z377" w:id="353"/>
    <w:p>
      <w:pPr>
        <w:spacing w:after="0"/>
        <w:ind w:left="0"/>
        <w:jc w:val="both"/>
      </w:pPr>
      <w:r>
        <w:rPr>
          <w:rFonts w:ascii="Times New Roman"/>
          <w:b w:val="false"/>
          <w:i w:val="false"/>
          <w:color w:val="000000"/>
          <w:sz w:val="28"/>
        </w:rPr>
        <w:t xml:space="preserve">
      Кроме того, пандемия COVID-19 наглядно показала уязвимость традиционной экономической системы и послужила триггером для дальнейшего продвижения вопроса устойчивого развития на глобальной арене. Зарубежные бизнес-сообщества, международные организации и экономисты призывают преодолеть последствия COVID-19 путем инвестирования в проекты, которые соответствуют целям устойчивого развития ООН. </w:t>
      </w:r>
    </w:p>
    <w:bookmarkEnd w:id="353"/>
    <w:bookmarkStart w:name="z378" w:id="354"/>
    <w:p>
      <w:pPr>
        <w:spacing w:after="0"/>
        <w:ind w:left="0"/>
        <w:jc w:val="both"/>
      </w:pPr>
      <w:r>
        <w:rPr>
          <w:rFonts w:ascii="Times New Roman"/>
          <w:b w:val="false"/>
          <w:i w:val="false"/>
          <w:color w:val="000000"/>
          <w:sz w:val="28"/>
        </w:rPr>
        <w:t xml:space="preserve">
      В этой связи Общество намерено внедрить и интегрировать экологические, социальные и управленческие факторы устойчивого развития, так называемые ESG факторы, в процессы принятия решений в повседневной деятельности Общества. </w:t>
      </w:r>
    </w:p>
    <w:bookmarkEnd w:id="354"/>
    <w:p>
      <w:pPr>
        <w:spacing w:after="0"/>
        <w:ind w:left="0"/>
        <w:jc w:val="both"/>
      </w:pPr>
      <w:r>
        <w:rPr>
          <w:rFonts w:ascii="Times New Roman"/>
          <w:b/>
          <w:i w:val="false"/>
          <w:color w:val="000000"/>
          <w:sz w:val="28"/>
        </w:rPr>
        <w:t>3.1. Цель № 4: повышение стандартов социальной ответственности</w:t>
      </w:r>
    </w:p>
    <w:bookmarkStart w:name="z380" w:id="355"/>
    <w:p>
      <w:pPr>
        <w:spacing w:after="0"/>
        <w:ind w:left="0"/>
        <w:jc w:val="both"/>
      </w:pPr>
      <w:r>
        <w:rPr>
          <w:rFonts w:ascii="Times New Roman"/>
          <w:b w:val="false"/>
          <w:i w:val="false"/>
          <w:color w:val="000000"/>
          <w:sz w:val="28"/>
        </w:rPr>
        <w:t>
      Важным фактором достижения устойчивого развития Общества является повышение стандартов социальной ответственности.</w:t>
      </w:r>
    </w:p>
    <w:bookmarkEnd w:id="355"/>
    <w:bookmarkStart w:name="z381" w:id="356"/>
    <w:p>
      <w:pPr>
        <w:spacing w:after="0"/>
        <w:ind w:left="0"/>
        <w:jc w:val="both"/>
      </w:pPr>
      <w:r>
        <w:rPr>
          <w:rFonts w:ascii="Times New Roman"/>
          <w:b w:val="false"/>
          <w:i w:val="false"/>
          <w:color w:val="000000"/>
          <w:sz w:val="28"/>
        </w:rPr>
        <w:t>
      Социальная ответственность является наиболее важным условием для создания справедливых и цивилизованных социально-трудовых отношений в Обществе и одним из ключевых факторов, влияющих на его успешность. Кроме того, формирование социально ориентированного бизнеса является ключевым условием для реализации задачи, поставленной Главой государства, а именно превратить Казахстан в динамично-развивающуюся страну с высокими стандартами жизни. Поэтому Общество нацелено повысить стандарты социальной ответственности и стать образцовым в сфере трудовых отношений.</w:t>
      </w:r>
    </w:p>
    <w:bookmarkEnd w:id="356"/>
    <w:bookmarkStart w:name="z382" w:id="357"/>
    <w:p>
      <w:pPr>
        <w:spacing w:after="0"/>
        <w:ind w:left="0"/>
        <w:jc w:val="both"/>
      </w:pPr>
      <w:r>
        <w:rPr>
          <w:rFonts w:ascii="Times New Roman"/>
          <w:b w:val="false"/>
          <w:i w:val="false"/>
          <w:color w:val="000000"/>
          <w:sz w:val="28"/>
        </w:rPr>
        <w:t>
      Общество продолжит выстраивать трудовые отношения со своими работниками на основе принципа законности и соблюдения общепризнанных трудовых прав работников, руководствоваться принципом предоставления равных возможностей и не допускать дискриминации своих работников при найме на работу, оплате труда, предоставлении доступа к обучению, повышении в должности, увольнении по таким основаниям, как пол, раса, язык, религиозные, политические и другие убеждения, гражданство, национальное или социальное происхождение, ограниченные возможности.</w:t>
      </w:r>
    </w:p>
    <w:bookmarkEnd w:id="357"/>
    <w:bookmarkStart w:name="z383" w:id="358"/>
    <w:p>
      <w:pPr>
        <w:spacing w:after="0"/>
        <w:ind w:left="0"/>
        <w:jc w:val="both"/>
      </w:pPr>
      <w:r>
        <w:rPr>
          <w:rFonts w:ascii="Times New Roman"/>
          <w:b w:val="false"/>
          <w:i w:val="false"/>
          <w:color w:val="000000"/>
          <w:sz w:val="28"/>
        </w:rPr>
        <w:t>
      Также Общество продолжит вносить вклад в социальное развитие страны путем осуществления благотворительной деятельности, а также продвижения корпоративного волонтерства. Для учета интересов гражданского общества и мнения общественности, а также обсуждения широкого круга вопросов создан Общественный совет, роль которого будет только повышаться.</w:t>
      </w:r>
    </w:p>
    <w:bookmarkEnd w:id="358"/>
    <w:bookmarkStart w:name="z384" w:id="359"/>
    <w:p>
      <w:pPr>
        <w:spacing w:after="0"/>
        <w:ind w:left="0"/>
        <w:jc w:val="both"/>
      </w:pPr>
      <w:r>
        <w:rPr>
          <w:rFonts w:ascii="Times New Roman"/>
          <w:b w:val="false"/>
          <w:i w:val="false"/>
          <w:color w:val="000000"/>
          <w:sz w:val="28"/>
        </w:rPr>
        <w:t>
      В целях дальнейшего повышения стандартов социальной ответственности предлагается реализовать следующую стратегическую задачу:</w:t>
      </w:r>
    </w:p>
    <w:bookmarkEnd w:id="359"/>
    <w:p>
      <w:pPr>
        <w:spacing w:after="0"/>
        <w:ind w:left="0"/>
        <w:jc w:val="both"/>
      </w:pPr>
      <w:r>
        <w:rPr>
          <w:rFonts w:ascii="Times New Roman"/>
          <w:b/>
          <w:i w:val="false"/>
          <w:color w:val="000000"/>
          <w:sz w:val="28"/>
        </w:rPr>
        <w:t>3.1.1. Обеспечение гендерного равенства</w:t>
      </w:r>
    </w:p>
    <w:bookmarkStart w:name="z386" w:id="360"/>
    <w:p>
      <w:pPr>
        <w:spacing w:after="0"/>
        <w:ind w:left="0"/>
        <w:jc w:val="both"/>
      </w:pPr>
      <w:r>
        <w:rPr>
          <w:rFonts w:ascii="Times New Roman"/>
          <w:b w:val="false"/>
          <w:i w:val="false"/>
          <w:color w:val="000000"/>
          <w:sz w:val="28"/>
        </w:rPr>
        <w:t xml:space="preserve">
      Обеспечение гендерного равенства представляет собой стремление к созданию справедливых и равных возможностей для всех людей и включает в себя устранение дискриминации на основе пола, обеспечение равного доступа к образованию, здравоохранению, ресурсам и возможностям для развития, а также поддержку равного участия женщин и мужчин в принятии решений на всех уровнях общества. </w:t>
      </w:r>
    </w:p>
    <w:bookmarkEnd w:id="360"/>
    <w:bookmarkStart w:name="z387" w:id="361"/>
    <w:p>
      <w:pPr>
        <w:spacing w:after="0"/>
        <w:ind w:left="0"/>
        <w:jc w:val="both"/>
      </w:pPr>
      <w:r>
        <w:rPr>
          <w:rFonts w:ascii="Times New Roman"/>
          <w:b w:val="false"/>
          <w:i w:val="false"/>
          <w:color w:val="000000"/>
          <w:sz w:val="28"/>
        </w:rPr>
        <w:t>
      Для реализации задачи по обеспечению гендерного равенства Обществу необходимо осуществить следующие меры:</w:t>
      </w:r>
    </w:p>
    <w:bookmarkEnd w:id="361"/>
    <w:bookmarkStart w:name="z388" w:id="362"/>
    <w:p>
      <w:pPr>
        <w:spacing w:after="0"/>
        <w:ind w:left="0"/>
        <w:jc w:val="both"/>
      </w:pPr>
      <w:r>
        <w:rPr>
          <w:rFonts w:ascii="Times New Roman"/>
          <w:b w:val="false"/>
          <w:i w:val="false"/>
          <w:color w:val="000000"/>
          <w:sz w:val="28"/>
        </w:rPr>
        <w:t xml:space="preserve">
      1) внести изменения в соответствующие разделы внутренних документов касательно гендерного равенства; </w:t>
      </w:r>
    </w:p>
    <w:bookmarkEnd w:id="362"/>
    <w:bookmarkStart w:name="z389" w:id="363"/>
    <w:p>
      <w:pPr>
        <w:spacing w:after="0"/>
        <w:ind w:left="0"/>
        <w:jc w:val="both"/>
      </w:pPr>
      <w:r>
        <w:rPr>
          <w:rFonts w:ascii="Times New Roman"/>
          <w:b w:val="false"/>
          <w:i w:val="false"/>
          <w:color w:val="000000"/>
          <w:sz w:val="28"/>
        </w:rPr>
        <w:t xml:space="preserve">
      2) создать комфортные и благоприятные условия труда и отдыха, направленные на сохранение здоровья и обеспечение безопасности; </w:t>
      </w:r>
    </w:p>
    <w:bookmarkEnd w:id="363"/>
    <w:bookmarkStart w:name="z390" w:id="364"/>
    <w:p>
      <w:pPr>
        <w:spacing w:after="0"/>
        <w:ind w:left="0"/>
        <w:jc w:val="both"/>
      </w:pPr>
      <w:r>
        <w:rPr>
          <w:rFonts w:ascii="Times New Roman"/>
          <w:b w:val="false"/>
          <w:i w:val="false"/>
          <w:color w:val="000000"/>
          <w:sz w:val="28"/>
        </w:rPr>
        <w:t>
      3) организовывать обучение для развития навыков и лидерских качеств для поддержки карьерного роста женщин;</w:t>
      </w:r>
    </w:p>
    <w:bookmarkEnd w:id="364"/>
    <w:bookmarkStart w:name="z391" w:id="365"/>
    <w:p>
      <w:pPr>
        <w:spacing w:after="0"/>
        <w:ind w:left="0"/>
        <w:jc w:val="both"/>
      </w:pPr>
      <w:r>
        <w:rPr>
          <w:rFonts w:ascii="Times New Roman"/>
          <w:b w:val="false"/>
          <w:i w:val="false"/>
          <w:color w:val="000000"/>
          <w:sz w:val="28"/>
        </w:rPr>
        <w:t xml:space="preserve">
      4) взаимодействовать с МТИ РК для обеспечения равного участия женщин в принятии решений в составе Правления и Совета директоров Общества. </w:t>
      </w:r>
    </w:p>
    <w:bookmarkEnd w:id="365"/>
    <w:bookmarkStart w:name="z392" w:id="366"/>
    <w:p>
      <w:pPr>
        <w:spacing w:after="0"/>
        <w:ind w:left="0"/>
        <w:jc w:val="both"/>
      </w:pPr>
      <w:r>
        <w:rPr>
          <w:rFonts w:ascii="Times New Roman"/>
          <w:b w:val="false"/>
          <w:i w:val="false"/>
          <w:color w:val="000000"/>
          <w:sz w:val="28"/>
        </w:rPr>
        <w:t>
      В рамках реализации данных мер Общество ожидает следующие положительные эффекты:</w:t>
      </w:r>
    </w:p>
    <w:bookmarkEnd w:id="366"/>
    <w:bookmarkStart w:name="z393" w:id="367"/>
    <w:p>
      <w:pPr>
        <w:spacing w:after="0"/>
        <w:ind w:left="0"/>
        <w:jc w:val="both"/>
      </w:pPr>
      <w:r>
        <w:rPr>
          <w:rFonts w:ascii="Times New Roman"/>
          <w:b w:val="false"/>
          <w:i w:val="false"/>
          <w:color w:val="000000"/>
          <w:sz w:val="28"/>
        </w:rPr>
        <w:t xml:space="preserve">
      1) сокращение неравенства путем увеличения доли женщин на уровне принятия решений; </w:t>
      </w:r>
    </w:p>
    <w:bookmarkEnd w:id="367"/>
    <w:bookmarkStart w:name="z394" w:id="368"/>
    <w:p>
      <w:pPr>
        <w:spacing w:after="0"/>
        <w:ind w:left="0"/>
        <w:jc w:val="both"/>
      </w:pPr>
      <w:r>
        <w:rPr>
          <w:rFonts w:ascii="Times New Roman"/>
          <w:b w:val="false"/>
          <w:i w:val="false"/>
          <w:color w:val="000000"/>
          <w:sz w:val="28"/>
        </w:rPr>
        <w:t>
      2) укрепление социальной справедливости в Обществе;</w:t>
      </w:r>
    </w:p>
    <w:bookmarkEnd w:id="368"/>
    <w:bookmarkStart w:name="z395" w:id="369"/>
    <w:p>
      <w:pPr>
        <w:spacing w:after="0"/>
        <w:ind w:left="0"/>
        <w:jc w:val="both"/>
      </w:pPr>
      <w:r>
        <w:rPr>
          <w:rFonts w:ascii="Times New Roman"/>
          <w:b w:val="false"/>
          <w:i w:val="false"/>
          <w:color w:val="000000"/>
          <w:sz w:val="28"/>
        </w:rPr>
        <w:t>
      3) создание справедливого и инклюзивного рабочего окружения;</w:t>
      </w:r>
    </w:p>
    <w:bookmarkEnd w:id="369"/>
    <w:bookmarkStart w:name="z396" w:id="370"/>
    <w:p>
      <w:pPr>
        <w:spacing w:after="0"/>
        <w:ind w:left="0"/>
        <w:jc w:val="both"/>
      </w:pPr>
      <w:r>
        <w:rPr>
          <w:rFonts w:ascii="Times New Roman"/>
          <w:b w:val="false"/>
          <w:i w:val="false"/>
          <w:color w:val="000000"/>
          <w:sz w:val="28"/>
        </w:rPr>
        <w:t xml:space="preserve">
      4) повышение мотивации и производительности работников; </w:t>
      </w:r>
    </w:p>
    <w:bookmarkEnd w:id="370"/>
    <w:bookmarkStart w:name="z397" w:id="371"/>
    <w:p>
      <w:pPr>
        <w:spacing w:after="0"/>
        <w:ind w:left="0"/>
        <w:jc w:val="both"/>
      </w:pPr>
      <w:r>
        <w:rPr>
          <w:rFonts w:ascii="Times New Roman"/>
          <w:b w:val="false"/>
          <w:i w:val="false"/>
          <w:color w:val="000000"/>
          <w:sz w:val="28"/>
        </w:rPr>
        <w:t xml:space="preserve">
      5) формирование условий для профессионального роста и развития женщин. </w:t>
      </w:r>
    </w:p>
    <w:bookmarkEnd w:id="371"/>
    <w:p>
      <w:pPr>
        <w:spacing w:after="0"/>
        <w:ind w:left="0"/>
        <w:jc w:val="both"/>
      </w:pPr>
      <w:r>
        <w:rPr>
          <w:rFonts w:ascii="Times New Roman"/>
          <w:b/>
          <w:i w:val="false"/>
          <w:color w:val="000000"/>
          <w:sz w:val="28"/>
        </w:rPr>
        <w:t>3.2. Цель № 5: совершенствование системы корпоративного управления</w:t>
      </w:r>
    </w:p>
    <w:bookmarkStart w:name="z399" w:id="372"/>
    <w:p>
      <w:pPr>
        <w:spacing w:after="0"/>
        <w:ind w:left="0"/>
        <w:jc w:val="both"/>
      </w:pPr>
      <w:r>
        <w:rPr>
          <w:rFonts w:ascii="Times New Roman"/>
          <w:b w:val="false"/>
          <w:i w:val="false"/>
          <w:color w:val="000000"/>
          <w:sz w:val="28"/>
        </w:rPr>
        <w:t xml:space="preserve">
      Совершенствование системы корпоративного управления представляет собой комплекс мер и политик, направленных на оптимизацию структуры и процессов управления внутри Общества. Это включает в себя улучшение механизмов принятия решений, распределение ответственности и контроля, а также усовершенствование коммуникационных и информационных потоков между управленческими органами, акционерами и заинтересованными сторонами. </w:t>
      </w:r>
    </w:p>
    <w:bookmarkEnd w:id="372"/>
    <w:bookmarkStart w:name="z400" w:id="373"/>
    <w:p>
      <w:pPr>
        <w:spacing w:after="0"/>
        <w:ind w:left="0"/>
        <w:jc w:val="both"/>
      </w:pPr>
      <w:r>
        <w:rPr>
          <w:rFonts w:ascii="Times New Roman"/>
          <w:b w:val="false"/>
          <w:i w:val="false"/>
          <w:color w:val="000000"/>
          <w:sz w:val="28"/>
        </w:rPr>
        <w:t xml:space="preserve">
      Целью совершенствования системы корпоративного управления является обеспечение прозрачности, эффективности и ответственности в управлении Обществом, что способствует улучшению его финансовой устойчивости, росту стоимости акций и доверию со стороны инвесторов и рынка в целом. </w:t>
      </w:r>
    </w:p>
    <w:bookmarkEnd w:id="373"/>
    <w:bookmarkStart w:name="z401" w:id="374"/>
    <w:p>
      <w:pPr>
        <w:spacing w:after="0"/>
        <w:ind w:left="0"/>
        <w:jc w:val="both"/>
      </w:pPr>
      <w:r>
        <w:rPr>
          <w:rFonts w:ascii="Times New Roman"/>
          <w:b w:val="false"/>
          <w:i w:val="false"/>
          <w:color w:val="000000"/>
          <w:sz w:val="28"/>
        </w:rPr>
        <w:t xml:space="preserve">
      Согласно последней проведенной диагностике (в 2022 году) корпоративное управление Общества достигло 84 % (средний показатель по стране 75 %). Несмотря на то, что Общество достигло значительных результатов в данном направлении, самым низким показателем в независимой оценке корпоративного управления является устойчивое развитие с рейтингом 76 %. </w:t>
      </w:r>
    </w:p>
    <w:bookmarkEnd w:id="374"/>
    <w:bookmarkStart w:name="z402" w:id="375"/>
    <w:p>
      <w:pPr>
        <w:spacing w:after="0"/>
        <w:ind w:left="0"/>
        <w:jc w:val="both"/>
      </w:pPr>
      <w:r>
        <w:rPr>
          <w:rFonts w:ascii="Times New Roman"/>
          <w:b w:val="false"/>
          <w:i w:val="false"/>
          <w:color w:val="000000"/>
          <w:sz w:val="28"/>
        </w:rPr>
        <w:t>
      Рисунок 2 – Основные показатели независимой оценки корпоративного управления</w:t>
      </w:r>
    </w:p>
    <w:bookmarkEnd w:id="375"/>
    <w:bookmarkStart w:name="z403" w:id="376"/>
    <w:p>
      <w:pPr>
        <w:spacing w:after="0"/>
        <w:ind w:left="0"/>
        <w:jc w:val="both"/>
      </w:pPr>
      <w:r>
        <w:rPr>
          <w:rFonts w:ascii="Times New Roman"/>
          <w:b w:val="false"/>
          <w:i w:val="false"/>
          <w:color w:val="000000"/>
          <w:sz w:val="28"/>
        </w:rPr>
        <w:t xml:space="preserve">
      </w:t>
      </w:r>
    </w:p>
    <w:bookmarkEnd w:id="37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04" w:id="377"/>
    <w:p>
      <w:pPr>
        <w:spacing w:after="0"/>
        <w:ind w:left="0"/>
        <w:jc w:val="both"/>
      </w:pPr>
      <w:r>
        <w:rPr>
          <w:rFonts w:ascii="Times New Roman"/>
          <w:b w:val="false"/>
          <w:i w:val="false"/>
          <w:color w:val="000000"/>
          <w:sz w:val="28"/>
        </w:rPr>
        <w:t>
      В этой связи осуществление эффективного корпоративного управления сегодня требует приоритетного внимания к принципам устойчивого развития. Для этого предлагается внедрить принципы экологической, социальной и управленческой ответственности ESG через стратегическую задачу:</w:t>
      </w:r>
    </w:p>
    <w:bookmarkEnd w:id="377"/>
    <w:p>
      <w:pPr>
        <w:spacing w:after="0"/>
        <w:ind w:left="0"/>
        <w:jc w:val="both"/>
      </w:pPr>
      <w:r>
        <w:rPr>
          <w:rFonts w:ascii="Times New Roman"/>
          <w:b/>
          <w:i w:val="false"/>
          <w:color w:val="000000"/>
          <w:sz w:val="28"/>
        </w:rPr>
        <w:t>3.2.1. Внедрение и соблюдение принципов ESG</w:t>
      </w:r>
    </w:p>
    <w:bookmarkStart w:name="z406" w:id="378"/>
    <w:p>
      <w:pPr>
        <w:spacing w:after="0"/>
        <w:ind w:left="0"/>
        <w:jc w:val="both"/>
      </w:pPr>
      <w:r>
        <w:rPr>
          <w:rFonts w:ascii="Times New Roman"/>
          <w:b w:val="false"/>
          <w:i w:val="false"/>
          <w:color w:val="000000"/>
          <w:sz w:val="28"/>
        </w:rPr>
        <w:t xml:space="preserve">
      Внедрение и соблюдение принципов ESG представляют собой интеграцию в деятельность Общества учета факторов окружающей среды, социальной ответственности и корпоративного управления, а также принятие мер для уменьшения экологического воздействия, поддержки социально значимых инициатив, введения прозрачных и этичных стандартов управления. </w:t>
      </w:r>
    </w:p>
    <w:bookmarkEnd w:id="378"/>
    <w:bookmarkStart w:name="z407" w:id="379"/>
    <w:p>
      <w:pPr>
        <w:spacing w:after="0"/>
        <w:ind w:left="0"/>
        <w:jc w:val="both"/>
      </w:pPr>
      <w:r>
        <w:rPr>
          <w:rFonts w:ascii="Times New Roman"/>
          <w:b w:val="false"/>
          <w:i w:val="false"/>
          <w:color w:val="000000"/>
          <w:sz w:val="28"/>
        </w:rPr>
        <w:t>
      Для реализации данной задачи необходимо осуществить следующие меры:</w:t>
      </w:r>
    </w:p>
    <w:bookmarkEnd w:id="379"/>
    <w:bookmarkStart w:name="z408" w:id="380"/>
    <w:p>
      <w:pPr>
        <w:spacing w:after="0"/>
        <w:ind w:left="0"/>
        <w:jc w:val="both"/>
      </w:pPr>
      <w:r>
        <w:rPr>
          <w:rFonts w:ascii="Times New Roman"/>
          <w:b w:val="false"/>
          <w:i w:val="false"/>
          <w:color w:val="000000"/>
          <w:sz w:val="28"/>
        </w:rPr>
        <w:t xml:space="preserve">
      1) разработать и внедрить нормативные документы, устанавливающие стандарты и требования ESG; </w:t>
      </w:r>
    </w:p>
    <w:bookmarkEnd w:id="380"/>
    <w:bookmarkStart w:name="z409" w:id="381"/>
    <w:p>
      <w:pPr>
        <w:spacing w:after="0"/>
        <w:ind w:left="0"/>
        <w:jc w:val="both"/>
      </w:pPr>
      <w:r>
        <w:rPr>
          <w:rFonts w:ascii="Times New Roman"/>
          <w:b w:val="false"/>
          <w:i w:val="false"/>
          <w:color w:val="000000"/>
          <w:sz w:val="28"/>
        </w:rPr>
        <w:t>
      2) обеспечить обучение и вовлечение руководящего состава и работников Общества в применение устойчивых практик развития принципов ESG;</w:t>
      </w:r>
    </w:p>
    <w:bookmarkEnd w:id="381"/>
    <w:bookmarkStart w:name="z410" w:id="382"/>
    <w:p>
      <w:pPr>
        <w:spacing w:after="0"/>
        <w:ind w:left="0"/>
        <w:jc w:val="both"/>
      </w:pPr>
      <w:r>
        <w:rPr>
          <w:rFonts w:ascii="Times New Roman"/>
          <w:b w:val="false"/>
          <w:i w:val="false"/>
          <w:color w:val="000000"/>
          <w:sz w:val="28"/>
        </w:rPr>
        <w:t>
      3) применять стандарты международной отчетности GRI;</w:t>
      </w:r>
    </w:p>
    <w:bookmarkEnd w:id="382"/>
    <w:bookmarkStart w:name="z411" w:id="383"/>
    <w:p>
      <w:pPr>
        <w:spacing w:after="0"/>
        <w:ind w:left="0"/>
        <w:jc w:val="both"/>
      </w:pPr>
      <w:r>
        <w:rPr>
          <w:rFonts w:ascii="Times New Roman"/>
          <w:b w:val="false"/>
          <w:i w:val="false"/>
          <w:color w:val="000000"/>
          <w:sz w:val="28"/>
        </w:rPr>
        <w:t>
      4) обеспечить достижение Целей устойчивого развития ООН, релевантных для Общества, как стремление к соблюдению глобальных принципов.</w:t>
      </w:r>
    </w:p>
    <w:bookmarkEnd w:id="383"/>
    <w:bookmarkStart w:name="z412" w:id="384"/>
    <w:p>
      <w:pPr>
        <w:spacing w:after="0"/>
        <w:ind w:left="0"/>
        <w:jc w:val="both"/>
      </w:pPr>
      <w:r>
        <w:rPr>
          <w:rFonts w:ascii="Times New Roman"/>
          <w:b w:val="false"/>
          <w:i w:val="false"/>
          <w:color w:val="000000"/>
          <w:sz w:val="28"/>
        </w:rPr>
        <w:t>
      В рамках реализации данных мер Общество ожидает следующие положительные эффекты:</w:t>
      </w:r>
    </w:p>
    <w:bookmarkEnd w:id="384"/>
    <w:bookmarkStart w:name="z413" w:id="385"/>
    <w:p>
      <w:pPr>
        <w:spacing w:after="0"/>
        <w:ind w:left="0"/>
        <w:jc w:val="both"/>
      </w:pPr>
      <w:r>
        <w:rPr>
          <w:rFonts w:ascii="Times New Roman"/>
          <w:b w:val="false"/>
          <w:i w:val="false"/>
          <w:color w:val="000000"/>
          <w:sz w:val="28"/>
        </w:rPr>
        <w:t>
      1) повышение инвестиционной привлекательности;</w:t>
      </w:r>
    </w:p>
    <w:bookmarkEnd w:id="385"/>
    <w:bookmarkStart w:name="z414" w:id="386"/>
    <w:p>
      <w:pPr>
        <w:spacing w:after="0"/>
        <w:ind w:left="0"/>
        <w:jc w:val="both"/>
      </w:pPr>
      <w:r>
        <w:rPr>
          <w:rFonts w:ascii="Times New Roman"/>
          <w:b w:val="false"/>
          <w:i w:val="false"/>
          <w:color w:val="000000"/>
          <w:sz w:val="28"/>
        </w:rPr>
        <w:t xml:space="preserve">
      2) улучшение репутации бренда за счет обеспечения прозрачности отчетности; </w:t>
      </w:r>
    </w:p>
    <w:bookmarkEnd w:id="386"/>
    <w:bookmarkStart w:name="z415" w:id="387"/>
    <w:p>
      <w:pPr>
        <w:spacing w:after="0"/>
        <w:ind w:left="0"/>
        <w:jc w:val="both"/>
      </w:pPr>
      <w:r>
        <w:rPr>
          <w:rFonts w:ascii="Times New Roman"/>
          <w:b w:val="false"/>
          <w:i w:val="false"/>
          <w:color w:val="000000"/>
          <w:sz w:val="28"/>
        </w:rPr>
        <w:t>
      3) корпоративные, экологические и социальные выгоды, как факторы успеха и долгосрочной устойчивости бизнеса;</w:t>
      </w:r>
    </w:p>
    <w:bookmarkEnd w:id="387"/>
    <w:bookmarkStart w:name="z416" w:id="388"/>
    <w:p>
      <w:pPr>
        <w:spacing w:after="0"/>
        <w:ind w:left="0"/>
        <w:jc w:val="both"/>
      </w:pPr>
      <w:r>
        <w:rPr>
          <w:rFonts w:ascii="Times New Roman"/>
          <w:b w:val="false"/>
          <w:i w:val="false"/>
          <w:color w:val="000000"/>
          <w:sz w:val="28"/>
        </w:rPr>
        <w:t>
      4) повышение эффективности компонента "Устойчивое развитие" системы корпоративного управления Общества, способствующей повышению общей оценки корпоративного управления Общества.</w:t>
      </w:r>
    </w:p>
    <w:bookmarkEnd w:id="388"/>
    <w:p>
      <w:pPr>
        <w:spacing w:after="0"/>
        <w:ind w:left="0"/>
        <w:jc w:val="both"/>
      </w:pPr>
      <w:r>
        <w:rPr>
          <w:rFonts w:ascii="Times New Roman"/>
          <w:b/>
          <w:i w:val="false"/>
          <w:color w:val="000000"/>
          <w:sz w:val="28"/>
        </w:rPr>
        <w:t>3.3. Цель № 6: управление экологическим воздействием</w:t>
      </w:r>
    </w:p>
    <w:bookmarkStart w:name="z418" w:id="389"/>
    <w:p>
      <w:pPr>
        <w:spacing w:after="0"/>
        <w:ind w:left="0"/>
        <w:jc w:val="both"/>
      </w:pPr>
      <w:r>
        <w:rPr>
          <w:rFonts w:ascii="Times New Roman"/>
          <w:b w:val="false"/>
          <w:i w:val="false"/>
          <w:color w:val="000000"/>
          <w:sz w:val="28"/>
        </w:rPr>
        <w:t xml:space="preserve">
      Управление экологическим воздействием обеспечивает фундаментальные принципы устойчивого развития, способствуя созданию благоприятной среды для процветания как бизнеса, так и общества в целом. </w:t>
      </w:r>
    </w:p>
    <w:bookmarkEnd w:id="389"/>
    <w:bookmarkStart w:name="z419" w:id="390"/>
    <w:p>
      <w:pPr>
        <w:spacing w:after="0"/>
        <w:ind w:left="0"/>
        <w:jc w:val="both"/>
      </w:pPr>
      <w:r>
        <w:rPr>
          <w:rFonts w:ascii="Times New Roman"/>
          <w:b w:val="false"/>
          <w:i w:val="false"/>
          <w:color w:val="000000"/>
          <w:sz w:val="28"/>
        </w:rPr>
        <w:t>
      Согласно глобальным трендам стремление сократить отрицательные экологические последствия своей деятельности становится важным аспектом корпоративной культуры и репутации.</w:t>
      </w:r>
    </w:p>
    <w:bookmarkEnd w:id="390"/>
    <w:bookmarkStart w:name="z420" w:id="391"/>
    <w:p>
      <w:pPr>
        <w:spacing w:after="0"/>
        <w:ind w:left="0"/>
        <w:jc w:val="both"/>
      </w:pPr>
      <w:r>
        <w:rPr>
          <w:rFonts w:ascii="Times New Roman"/>
          <w:b w:val="false"/>
          <w:i w:val="false"/>
          <w:color w:val="000000"/>
          <w:sz w:val="28"/>
        </w:rPr>
        <w:t xml:space="preserve">
      Экологические и энергетические ресурсы часто представляют собой значительные статьи расходов для организаций. Общество не стало исключением. </w:t>
      </w:r>
    </w:p>
    <w:bookmarkEnd w:id="391"/>
    <w:bookmarkStart w:name="z421" w:id="392"/>
    <w:p>
      <w:pPr>
        <w:spacing w:after="0"/>
        <w:ind w:left="0"/>
        <w:jc w:val="both"/>
      </w:pPr>
      <w:r>
        <w:rPr>
          <w:rFonts w:ascii="Times New Roman"/>
          <w:b w:val="false"/>
          <w:i w:val="false"/>
          <w:color w:val="000000"/>
          <w:sz w:val="28"/>
        </w:rPr>
        <w:t>
      В силу характера своей деятельности Общество не оказывает непосредственного существенного воздействия на окружающую среду. Основными ресурсами, потребляемыми Обществом, являются электроэнергия, тепловая энергия и вода.</w:t>
      </w:r>
    </w:p>
    <w:bookmarkEnd w:id="392"/>
    <w:bookmarkStart w:name="z422" w:id="393"/>
    <w:p>
      <w:pPr>
        <w:spacing w:after="0"/>
        <w:ind w:left="0"/>
        <w:jc w:val="both"/>
      </w:pPr>
      <w:r>
        <w:rPr>
          <w:rFonts w:ascii="Times New Roman"/>
          <w:b w:val="false"/>
          <w:i w:val="false"/>
          <w:color w:val="000000"/>
          <w:sz w:val="28"/>
        </w:rPr>
        <w:t>
      Общество применяет принципы и методы рационального использования ресурсов, которые наилучшим образом обеспечивают предотвращение неблагоприятного воздействия на окружающую среду.</w:t>
      </w:r>
    </w:p>
    <w:bookmarkEnd w:id="393"/>
    <w:bookmarkStart w:name="z423" w:id="394"/>
    <w:p>
      <w:pPr>
        <w:spacing w:after="0"/>
        <w:ind w:left="0"/>
        <w:jc w:val="both"/>
      </w:pPr>
      <w:r>
        <w:rPr>
          <w:rFonts w:ascii="Times New Roman"/>
          <w:b w:val="false"/>
          <w:i w:val="false"/>
          <w:color w:val="000000"/>
          <w:sz w:val="28"/>
        </w:rPr>
        <w:t>
      В своей деятельности Общество стремится к сокращению избыточного потребления ресурсов и минимизации существующего негативного экологического воздействия посредством внедрения энергоэффективных технологий, снижения потребления воды, уменьшения расходования бумаги для офисных нужд за счет внедрения системы электронного документооборота и практики двусторонней печати.</w:t>
      </w:r>
    </w:p>
    <w:bookmarkEnd w:id="394"/>
    <w:bookmarkStart w:name="z424" w:id="395"/>
    <w:p>
      <w:pPr>
        <w:spacing w:after="0"/>
        <w:ind w:left="0"/>
        <w:jc w:val="both"/>
      </w:pPr>
      <w:r>
        <w:rPr>
          <w:rFonts w:ascii="Times New Roman"/>
          <w:b w:val="false"/>
          <w:i w:val="false"/>
          <w:color w:val="000000"/>
          <w:sz w:val="28"/>
        </w:rPr>
        <w:t>
      Общество рассматривает возможность внедрения концепции "зеленого офиса", важной составляющей которой является кампания, направленная на повышение уровня экологической сознательности работников.</w:t>
      </w:r>
    </w:p>
    <w:bookmarkEnd w:id="395"/>
    <w:bookmarkStart w:name="z425" w:id="396"/>
    <w:p>
      <w:pPr>
        <w:spacing w:after="0"/>
        <w:ind w:left="0"/>
        <w:jc w:val="both"/>
      </w:pPr>
      <w:r>
        <w:rPr>
          <w:rFonts w:ascii="Times New Roman"/>
          <w:b w:val="false"/>
          <w:i w:val="false"/>
          <w:color w:val="000000"/>
          <w:sz w:val="28"/>
        </w:rPr>
        <w:t>
      График 7 - показатели потребления ресурсов Обществом</w:t>
      </w:r>
    </w:p>
    <w:bookmarkEnd w:id="396"/>
    <w:bookmarkStart w:name="z426" w:id="397"/>
    <w:p>
      <w:pPr>
        <w:spacing w:after="0"/>
        <w:ind w:left="0"/>
        <w:jc w:val="both"/>
      </w:pPr>
      <w:r>
        <w:rPr>
          <w:rFonts w:ascii="Times New Roman"/>
          <w:b w:val="false"/>
          <w:i w:val="false"/>
          <w:color w:val="000000"/>
          <w:sz w:val="28"/>
        </w:rPr>
        <w:t xml:space="preserve">
      </w:t>
      </w:r>
    </w:p>
    <w:bookmarkEnd w:id="39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27" w:id="398"/>
    <w:p>
      <w:pPr>
        <w:spacing w:after="0"/>
        <w:ind w:left="0"/>
        <w:jc w:val="both"/>
      </w:pPr>
      <w:r>
        <w:rPr>
          <w:rFonts w:ascii="Times New Roman"/>
          <w:b w:val="false"/>
          <w:i w:val="false"/>
          <w:color w:val="000000"/>
          <w:sz w:val="28"/>
        </w:rPr>
        <w:t xml:space="preserve">
      </w:t>
      </w:r>
    </w:p>
    <w:bookmarkEnd w:id="39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28" w:id="399"/>
    <w:p>
      <w:pPr>
        <w:spacing w:after="0"/>
        <w:ind w:left="0"/>
        <w:jc w:val="both"/>
      </w:pPr>
      <w:r>
        <w:rPr>
          <w:rFonts w:ascii="Times New Roman"/>
          <w:b w:val="false"/>
          <w:i w:val="false"/>
          <w:color w:val="000000"/>
          <w:sz w:val="28"/>
        </w:rPr>
        <w:t>
      В целях дальнейшего совершенствования управления экологическим воздействием будут реализованы следующие стратегические задачи:</w:t>
      </w:r>
    </w:p>
    <w:bookmarkEnd w:id="399"/>
    <w:p>
      <w:pPr>
        <w:spacing w:after="0"/>
        <w:ind w:left="0"/>
        <w:jc w:val="both"/>
      </w:pPr>
      <w:r>
        <w:rPr>
          <w:rFonts w:ascii="Times New Roman"/>
          <w:b/>
          <w:i w:val="false"/>
          <w:color w:val="000000"/>
          <w:sz w:val="28"/>
        </w:rPr>
        <w:t>3.3.1. Повышение эффективности потребления ресурсов</w:t>
      </w:r>
    </w:p>
    <w:bookmarkStart w:name="z430" w:id="400"/>
    <w:p>
      <w:pPr>
        <w:spacing w:after="0"/>
        <w:ind w:left="0"/>
        <w:jc w:val="both"/>
      </w:pPr>
      <w:r>
        <w:rPr>
          <w:rFonts w:ascii="Times New Roman"/>
          <w:b w:val="false"/>
          <w:i w:val="false"/>
          <w:color w:val="000000"/>
          <w:sz w:val="28"/>
        </w:rPr>
        <w:t xml:space="preserve">
      Повышение эффективности потребления ресурсов представляет собой стратегию, направленную на оптимизацию использования энергетических и водных ресурсов с целью сокращения расходов и снижения негативного воздействия на окружающую среду. Данная задача включает в себя внедрение эффективных технологий и процессов, рациональное использование энергии, воды, материалов и других природных ресурсов. </w:t>
      </w:r>
    </w:p>
    <w:bookmarkEnd w:id="400"/>
    <w:bookmarkStart w:name="z431" w:id="401"/>
    <w:p>
      <w:pPr>
        <w:spacing w:after="0"/>
        <w:ind w:left="0"/>
        <w:jc w:val="both"/>
      </w:pPr>
      <w:r>
        <w:rPr>
          <w:rFonts w:ascii="Times New Roman"/>
          <w:b w:val="false"/>
          <w:i w:val="false"/>
          <w:color w:val="000000"/>
          <w:sz w:val="28"/>
        </w:rPr>
        <w:t xml:space="preserve">
      Одними из ключевых операционных расходов Общества являются расходы на коммунальные услуги. Ввиду значительного объема площади объектов, роста загрузки и частоты проведения мероприятий рост расходов Общества на электроэнергию и потребление воды в прогнозируемый период будет только расти. Для снижения операционных затрат Обществу необходимо произвести обновление оборудования и модернизацию производств, ускорить темпы цифровизации производственных процессов и систематически внедрять передовые технологии. Данные меры позволят Обществу сократить потребление энерго и водных ресурсов, тем самым сократить затраты по их потреблению. </w:t>
      </w:r>
    </w:p>
    <w:bookmarkEnd w:id="401"/>
    <w:bookmarkStart w:name="z432" w:id="402"/>
    <w:p>
      <w:pPr>
        <w:spacing w:after="0"/>
        <w:ind w:left="0"/>
        <w:jc w:val="both"/>
      </w:pPr>
      <w:r>
        <w:rPr>
          <w:rFonts w:ascii="Times New Roman"/>
          <w:b w:val="false"/>
          <w:i w:val="false"/>
          <w:color w:val="000000"/>
          <w:sz w:val="28"/>
        </w:rPr>
        <w:t>
      Общество будет принимать меры по повышению осведомленности работников о ресурсосбережении в Обществе и "зеленых" технологиях, к примеру, будут проводиться тренинги для персонала, разрабатываться общие правила, регулирующие использование ресурсов и технологий, и так далее.</w:t>
      </w:r>
    </w:p>
    <w:bookmarkEnd w:id="402"/>
    <w:bookmarkStart w:name="z433" w:id="403"/>
    <w:p>
      <w:pPr>
        <w:spacing w:after="0"/>
        <w:ind w:left="0"/>
        <w:jc w:val="both"/>
      </w:pPr>
      <w:r>
        <w:rPr>
          <w:rFonts w:ascii="Times New Roman"/>
          <w:b w:val="false"/>
          <w:i w:val="false"/>
          <w:color w:val="000000"/>
          <w:sz w:val="28"/>
        </w:rPr>
        <w:t>
      Основные направления и подходы к решению задачи по оптимизации потребления электрической энергии следующие:</w:t>
      </w:r>
    </w:p>
    <w:bookmarkEnd w:id="403"/>
    <w:bookmarkStart w:name="z434" w:id="404"/>
    <w:p>
      <w:pPr>
        <w:spacing w:after="0"/>
        <w:ind w:left="0"/>
        <w:jc w:val="both"/>
      </w:pPr>
      <w:r>
        <w:rPr>
          <w:rFonts w:ascii="Times New Roman"/>
          <w:b w:val="false"/>
          <w:i w:val="false"/>
          <w:color w:val="000000"/>
          <w:sz w:val="28"/>
        </w:rPr>
        <w:t>
      1) использовать современные системы управления и мониторинга для эффективного контроля над энергопотреблением;</w:t>
      </w:r>
    </w:p>
    <w:bookmarkEnd w:id="404"/>
    <w:bookmarkStart w:name="z435" w:id="405"/>
    <w:p>
      <w:pPr>
        <w:spacing w:after="0"/>
        <w:ind w:left="0"/>
        <w:jc w:val="both"/>
      </w:pPr>
      <w:r>
        <w:rPr>
          <w:rFonts w:ascii="Times New Roman"/>
          <w:b w:val="false"/>
          <w:i w:val="false"/>
          <w:color w:val="000000"/>
          <w:sz w:val="28"/>
        </w:rPr>
        <w:t>
      2) заменить устаревшее оборудование на более современное и энергосберегающее;</w:t>
      </w:r>
    </w:p>
    <w:bookmarkEnd w:id="405"/>
    <w:bookmarkStart w:name="z436" w:id="406"/>
    <w:p>
      <w:pPr>
        <w:spacing w:after="0"/>
        <w:ind w:left="0"/>
        <w:jc w:val="both"/>
      </w:pPr>
      <w:r>
        <w:rPr>
          <w:rFonts w:ascii="Times New Roman"/>
          <w:b w:val="false"/>
          <w:i w:val="false"/>
          <w:color w:val="000000"/>
          <w:sz w:val="28"/>
        </w:rPr>
        <w:t>
      3) разработать и установить системы автоматизации, позволяющие точно регулировать потребление электроэнергии в зависимости от актуальных нужд;</w:t>
      </w:r>
    </w:p>
    <w:bookmarkEnd w:id="406"/>
    <w:bookmarkStart w:name="z437" w:id="407"/>
    <w:p>
      <w:pPr>
        <w:spacing w:after="0"/>
        <w:ind w:left="0"/>
        <w:jc w:val="both"/>
      </w:pPr>
      <w:r>
        <w:rPr>
          <w:rFonts w:ascii="Times New Roman"/>
          <w:b w:val="false"/>
          <w:i w:val="false"/>
          <w:color w:val="000000"/>
          <w:sz w:val="28"/>
        </w:rPr>
        <w:t>
      4) обучить сотрудников методам энергосбережения и рационального использования электроэнергии;</w:t>
      </w:r>
    </w:p>
    <w:bookmarkEnd w:id="407"/>
    <w:bookmarkStart w:name="z438" w:id="408"/>
    <w:p>
      <w:pPr>
        <w:spacing w:after="0"/>
        <w:ind w:left="0"/>
        <w:jc w:val="both"/>
      </w:pPr>
      <w:r>
        <w:rPr>
          <w:rFonts w:ascii="Times New Roman"/>
          <w:b w:val="false"/>
          <w:i w:val="false"/>
          <w:color w:val="000000"/>
          <w:sz w:val="28"/>
        </w:rPr>
        <w:t>
      5) регулярно мониторить энергопотребление и проводить анализ данных с целью выявления потенциальных областей оптимизации.</w:t>
      </w:r>
    </w:p>
    <w:bookmarkEnd w:id="408"/>
    <w:bookmarkStart w:name="z439" w:id="409"/>
    <w:p>
      <w:pPr>
        <w:spacing w:after="0"/>
        <w:ind w:left="0"/>
        <w:jc w:val="both"/>
      </w:pPr>
      <w:r>
        <w:rPr>
          <w:rFonts w:ascii="Times New Roman"/>
          <w:b w:val="false"/>
          <w:i w:val="false"/>
          <w:color w:val="000000"/>
          <w:sz w:val="28"/>
        </w:rPr>
        <w:t>
      Меры по внедрению водосберегающего оборудования:</w:t>
      </w:r>
    </w:p>
    <w:bookmarkEnd w:id="409"/>
    <w:bookmarkStart w:name="z440" w:id="410"/>
    <w:p>
      <w:pPr>
        <w:spacing w:after="0"/>
        <w:ind w:left="0"/>
        <w:jc w:val="both"/>
      </w:pPr>
      <w:r>
        <w:rPr>
          <w:rFonts w:ascii="Times New Roman"/>
          <w:b w:val="false"/>
          <w:i w:val="false"/>
          <w:color w:val="000000"/>
          <w:sz w:val="28"/>
        </w:rPr>
        <w:t>
      1) провести детальный анализ текущего водопотребления с целью выявления основных точек расхода;</w:t>
      </w:r>
    </w:p>
    <w:bookmarkEnd w:id="410"/>
    <w:bookmarkStart w:name="z441" w:id="411"/>
    <w:p>
      <w:pPr>
        <w:spacing w:after="0"/>
        <w:ind w:left="0"/>
        <w:jc w:val="both"/>
      </w:pPr>
      <w:r>
        <w:rPr>
          <w:rFonts w:ascii="Times New Roman"/>
          <w:b w:val="false"/>
          <w:i w:val="false"/>
          <w:color w:val="000000"/>
          <w:sz w:val="28"/>
        </w:rPr>
        <w:t>
      2) выбрать и внедрить технологии, такие как смесители с низким расходом воды, интеллектуальные системы управления поливом и другие;</w:t>
      </w:r>
    </w:p>
    <w:bookmarkEnd w:id="411"/>
    <w:bookmarkStart w:name="z442" w:id="412"/>
    <w:p>
      <w:pPr>
        <w:spacing w:after="0"/>
        <w:ind w:left="0"/>
        <w:jc w:val="both"/>
      </w:pPr>
      <w:r>
        <w:rPr>
          <w:rFonts w:ascii="Times New Roman"/>
          <w:b w:val="false"/>
          <w:i w:val="false"/>
          <w:color w:val="000000"/>
          <w:sz w:val="28"/>
        </w:rPr>
        <w:t>
      3) установить системы мониторинга, которые позволят отслеживать и анализировать показатели водопотребления в режиме реального времени;</w:t>
      </w:r>
    </w:p>
    <w:bookmarkEnd w:id="412"/>
    <w:bookmarkStart w:name="z443" w:id="413"/>
    <w:p>
      <w:pPr>
        <w:spacing w:after="0"/>
        <w:ind w:left="0"/>
        <w:jc w:val="both"/>
      </w:pPr>
      <w:r>
        <w:rPr>
          <w:rFonts w:ascii="Times New Roman"/>
          <w:b w:val="false"/>
          <w:i w:val="false"/>
          <w:color w:val="000000"/>
          <w:sz w:val="28"/>
        </w:rPr>
        <w:t>
      4) регулярно мониторить и анализировать данные для измерения снижения потребления воды и эффективности использования новых технологий.</w:t>
      </w:r>
    </w:p>
    <w:bookmarkEnd w:id="413"/>
    <w:bookmarkStart w:name="z444" w:id="414"/>
    <w:p>
      <w:pPr>
        <w:spacing w:after="0"/>
        <w:ind w:left="0"/>
        <w:jc w:val="both"/>
      </w:pPr>
      <w:r>
        <w:rPr>
          <w:rFonts w:ascii="Times New Roman"/>
          <w:b w:val="false"/>
          <w:i w:val="false"/>
          <w:color w:val="000000"/>
          <w:sz w:val="28"/>
        </w:rPr>
        <w:t>
      В рамках реализации данных мер Общество ожидает следующие положительные эффекты:</w:t>
      </w:r>
    </w:p>
    <w:bookmarkEnd w:id="414"/>
    <w:bookmarkStart w:name="z445" w:id="415"/>
    <w:p>
      <w:pPr>
        <w:spacing w:after="0"/>
        <w:ind w:left="0"/>
        <w:jc w:val="both"/>
      </w:pPr>
      <w:r>
        <w:rPr>
          <w:rFonts w:ascii="Times New Roman"/>
          <w:b w:val="false"/>
          <w:i w:val="false"/>
          <w:color w:val="000000"/>
          <w:sz w:val="28"/>
        </w:rPr>
        <w:t xml:space="preserve">
      1) повышение эффективности потребления ресурсов; </w:t>
      </w:r>
    </w:p>
    <w:bookmarkEnd w:id="415"/>
    <w:bookmarkStart w:name="z446" w:id="416"/>
    <w:p>
      <w:pPr>
        <w:spacing w:after="0"/>
        <w:ind w:left="0"/>
        <w:jc w:val="both"/>
      </w:pPr>
      <w:r>
        <w:rPr>
          <w:rFonts w:ascii="Times New Roman"/>
          <w:b w:val="false"/>
          <w:i w:val="false"/>
          <w:color w:val="000000"/>
          <w:sz w:val="28"/>
        </w:rPr>
        <w:t xml:space="preserve">
      2) сокращение издержек; </w:t>
      </w:r>
    </w:p>
    <w:bookmarkEnd w:id="416"/>
    <w:bookmarkStart w:name="z447" w:id="417"/>
    <w:p>
      <w:pPr>
        <w:spacing w:after="0"/>
        <w:ind w:left="0"/>
        <w:jc w:val="both"/>
      </w:pPr>
      <w:r>
        <w:rPr>
          <w:rFonts w:ascii="Times New Roman"/>
          <w:b w:val="false"/>
          <w:i w:val="false"/>
          <w:color w:val="000000"/>
          <w:sz w:val="28"/>
        </w:rPr>
        <w:t>
      3) улучшение экологической нейтральности Общества;</w:t>
      </w:r>
    </w:p>
    <w:bookmarkEnd w:id="417"/>
    <w:bookmarkStart w:name="z448" w:id="418"/>
    <w:p>
      <w:pPr>
        <w:spacing w:after="0"/>
        <w:ind w:left="0"/>
        <w:jc w:val="both"/>
      </w:pPr>
      <w:r>
        <w:rPr>
          <w:rFonts w:ascii="Times New Roman"/>
          <w:b w:val="false"/>
          <w:i w:val="false"/>
          <w:color w:val="000000"/>
          <w:sz w:val="28"/>
        </w:rPr>
        <w:t xml:space="preserve">
      4) повышение конкурентоспособности на рынке; </w:t>
      </w:r>
    </w:p>
    <w:bookmarkEnd w:id="418"/>
    <w:bookmarkStart w:name="z449" w:id="419"/>
    <w:p>
      <w:pPr>
        <w:spacing w:after="0"/>
        <w:ind w:left="0"/>
        <w:jc w:val="both"/>
      </w:pPr>
      <w:r>
        <w:rPr>
          <w:rFonts w:ascii="Times New Roman"/>
          <w:b w:val="false"/>
          <w:i w:val="false"/>
          <w:color w:val="000000"/>
          <w:sz w:val="28"/>
        </w:rPr>
        <w:t>
      5) долгосрочный успех и устойчивое развитие.</w:t>
      </w:r>
    </w:p>
    <w:bookmarkEnd w:id="419"/>
    <w:p>
      <w:pPr>
        <w:spacing w:after="0"/>
        <w:ind w:left="0"/>
        <w:jc w:val="both"/>
      </w:pPr>
      <w:r>
        <w:rPr>
          <w:rFonts w:ascii="Times New Roman"/>
          <w:b/>
          <w:i w:val="false"/>
          <w:color w:val="000000"/>
          <w:sz w:val="28"/>
        </w:rPr>
        <w:t>3.3.2. Модернизация активов и цифровизация</w:t>
      </w:r>
    </w:p>
    <w:bookmarkStart w:name="z451" w:id="420"/>
    <w:p>
      <w:pPr>
        <w:spacing w:after="0"/>
        <w:ind w:left="0"/>
        <w:jc w:val="both"/>
      </w:pPr>
      <w:r>
        <w:rPr>
          <w:rFonts w:ascii="Times New Roman"/>
          <w:b w:val="false"/>
          <w:i w:val="false"/>
          <w:color w:val="000000"/>
          <w:sz w:val="28"/>
        </w:rPr>
        <w:t>
      Модернизация активов представляет собой комплексный процесс обновления и улучшения инфраструктуры, объектов, зон отдыха и развлечений, а также коммуникационных сетей территории делового центра "EXPO". Цель включает в себя различные мероприятия по реконструкции, реновации и развитию, направленные на повышение доходности, привлекательности объектов и территории для арендаторов и посетителей, а также стимулирование экономического развития столицы.</w:t>
      </w:r>
    </w:p>
    <w:bookmarkEnd w:id="420"/>
    <w:bookmarkStart w:name="z452" w:id="421"/>
    <w:p>
      <w:pPr>
        <w:spacing w:after="0"/>
        <w:ind w:left="0"/>
        <w:jc w:val="both"/>
      </w:pPr>
      <w:r>
        <w:rPr>
          <w:rFonts w:ascii="Times New Roman"/>
          <w:b w:val="false"/>
          <w:i w:val="false"/>
          <w:color w:val="000000"/>
          <w:sz w:val="28"/>
        </w:rPr>
        <w:t xml:space="preserve">
      Процесс модернизации объектов EXPO включает в себя реализацию проектов строительства и реконструкции, разработку цифровых платформ для управления и взаимодействия с клиентами и посетителями. В результате модернизации объектов и территории EXPO достигаются не только повышение их привлекательности и функциональности, но и сохранение долгосрочного наследия для развития региона и Общества в целом. </w:t>
      </w:r>
    </w:p>
    <w:bookmarkEnd w:id="421"/>
    <w:bookmarkStart w:name="z453" w:id="422"/>
    <w:p>
      <w:pPr>
        <w:spacing w:after="0"/>
        <w:ind w:left="0"/>
        <w:jc w:val="both"/>
      </w:pPr>
      <w:r>
        <w:rPr>
          <w:rFonts w:ascii="Times New Roman"/>
          <w:b w:val="false"/>
          <w:i w:val="false"/>
          <w:color w:val="000000"/>
          <w:sz w:val="28"/>
        </w:rPr>
        <w:t>
      Для реализации данной задачи необходимо осуществить следующие меры:</w:t>
      </w:r>
    </w:p>
    <w:bookmarkEnd w:id="422"/>
    <w:bookmarkStart w:name="z454" w:id="423"/>
    <w:p>
      <w:pPr>
        <w:spacing w:after="0"/>
        <w:ind w:left="0"/>
        <w:jc w:val="both"/>
      </w:pPr>
      <w:r>
        <w:rPr>
          <w:rFonts w:ascii="Times New Roman"/>
          <w:b w:val="false"/>
          <w:i w:val="false"/>
          <w:color w:val="000000"/>
          <w:sz w:val="28"/>
        </w:rPr>
        <w:t>
      1) обновить оборудование, механизмы и инфраструктуру Общества для повышения производительности, снижения издержек и улучшения качества услуг;</w:t>
      </w:r>
    </w:p>
    <w:bookmarkEnd w:id="423"/>
    <w:bookmarkStart w:name="z455" w:id="424"/>
    <w:p>
      <w:pPr>
        <w:spacing w:after="0"/>
        <w:ind w:left="0"/>
        <w:jc w:val="both"/>
      </w:pPr>
      <w:r>
        <w:rPr>
          <w:rFonts w:ascii="Times New Roman"/>
          <w:b w:val="false"/>
          <w:i w:val="false"/>
          <w:color w:val="000000"/>
          <w:sz w:val="28"/>
        </w:rPr>
        <w:t xml:space="preserve">
      2) продолжить совершенствование цифровой платформы "RСM", программного обеспечения и систем управления, которые улучшат взаимодействие с клиентами, оптимизируют управление ресурсами и обеспечат более эффективное управление компанией в целом; </w:t>
      </w:r>
    </w:p>
    <w:bookmarkEnd w:id="424"/>
    <w:bookmarkStart w:name="z456" w:id="425"/>
    <w:p>
      <w:pPr>
        <w:spacing w:after="0"/>
        <w:ind w:left="0"/>
        <w:jc w:val="both"/>
      </w:pPr>
      <w:r>
        <w:rPr>
          <w:rFonts w:ascii="Times New Roman"/>
          <w:b w:val="false"/>
          <w:i w:val="false"/>
          <w:color w:val="000000"/>
          <w:sz w:val="28"/>
        </w:rPr>
        <w:t xml:space="preserve">
      3) усилить кибербезопасность и обеспечить защиту конфиденциальности данных Общества; </w:t>
      </w:r>
    </w:p>
    <w:bookmarkEnd w:id="425"/>
    <w:bookmarkStart w:name="z457" w:id="426"/>
    <w:p>
      <w:pPr>
        <w:spacing w:after="0"/>
        <w:ind w:left="0"/>
        <w:jc w:val="both"/>
      </w:pPr>
      <w:r>
        <w:rPr>
          <w:rFonts w:ascii="Times New Roman"/>
          <w:b w:val="false"/>
          <w:i w:val="false"/>
          <w:color w:val="000000"/>
          <w:sz w:val="28"/>
        </w:rPr>
        <w:t>
      4) продолжить модернизацию автоматизированных систем управления зданиями, видеонаблюдения и сетевой инфраструктуры по всей территории делового центра "ЕХРО".</w:t>
      </w:r>
    </w:p>
    <w:bookmarkEnd w:id="426"/>
    <w:bookmarkStart w:name="z458" w:id="427"/>
    <w:p>
      <w:pPr>
        <w:spacing w:after="0"/>
        <w:ind w:left="0"/>
        <w:jc w:val="both"/>
      </w:pPr>
      <w:r>
        <w:rPr>
          <w:rFonts w:ascii="Times New Roman"/>
          <w:b w:val="false"/>
          <w:i w:val="false"/>
          <w:color w:val="000000"/>
          <w:sz w:val="28"/>
        </w:rPr>
        <w:t>
      В рамках реализации данных мер Общество ожидает следующие положительные результаты:</w:t>
      </w:r>
    </w:p>
    <w:bookmarkEnd w:id="427"/>
    <w:bookmarkStart w:name="z459" w:id="428"/>
    <w:p>
      <w:pPr>
        <w:spacing w:after="0"/>
        <w:ind w:left="0"/>
        <w:jc w:val="both"/>
      </w:pPr>
      <w:r>
        <w:rPr>
          <w:rFonts w:ascii="Times New Roman"/>
          <w:b w:val="false"/>
          <w:i w:val="false"/>
          <w:color w:val="000000"/>
          <w:sz w:val="28"/>
        </w:rPr>
        <w:t>
      1) улучшение производственных и операционных процессов Общества за счет внедрения современных технологий и цифровых решений;</w:t>
      </w:r>
    </w:p>
    <w:bookmarkEnd w:id="428"/>
    <w:bookmarkStart w:name="z460" w:id="429"/>
    <w:p>
      <w:pPr>
        <w:spacing w:after="0"/>
        <w:ind w:left="0"/>
        <w:jc w:val="both"/>
      </w:pPr>
      <w:r>
        <w:rPr>
          <w:rFonts w:ascii="Times New Roman"/>
          <w:b w:val="false"/>
          <w:i w:val="false"/>
          <w:color w:val="000000"/>
          <w:sz w:val="28"/>
        </w:rPr>
        <w:t>
      2) сохранение конкурентоспособности;</w:t>
      </w:r>
    </w:p>
    <w:bookmarkEnd w:id="429"/>
    <w:bookmarkStart w:name="z461" w:id="430"/>
    <w:p>
      <w:pPr>
        <w:spacing w:after="0"/>
        <w:ind w:left="0"/>
        <w:jc w:val="both"/>
      </w:pPr>
      <w:r>
        <w:rPr>
          <w:rFonts w:ascii="Times New Roman"/>
          <w:b w:val="false"/>
          <w:i w:val="false"/>
          <w:color w:val="000000"/>
          <w:sz w:val="28"/>
        </w:rPr>
        <w:t>
      3) создание новых возможностей для роста и развития Общества в быстро меняющихся условиях рынка;</w:t>
      </w:r>
    </w:p>
    <w:bookmarkEnd w:id="430"/>
    <w:bookmarkStart w:name="z462" w:id="431"/>
    <w:p>
      <w:pPr>
        <w:spacing w:after="0"/>
        <w:ind w:left="0"/>
        <w:jc w:val="both"/>
      </w:pPr>
      <w:r>
        <w:rPr>
          <w:rFonts w:ascii="Times New Roman"/>
          <w:b w:val="false"/>
          <w:i w:val="false"/>
          <w:color w:val="000000"/>
          <w:sz w:val="28"/>
        </w:rPr>
        <w:t>
      4) улучшение управления объектами и повышение уровня комфорта и безопасности для арендаторов.</w:t>
      </w:r>
    </w:p>
    <w:bookmarkEnd w:id="431"/>
    <w:bookmarkStart w:name="z463" w:id="432"/>
    <w:p>
      <w:pPr>
        <w:spacing w:after="0"/>
        <w:ind w:left="0"/>
        <w:jc w:val="both"/>
      </w:pPr>
      <w:r>
        <w:rPr>
          <w:rFonts w:ascii="Times New Roman"/>
          <w:b w:val="false"/>
          <w:i w:val="false"/>
          <w:color w:val="000000"/>
          <w:sz w:val="28"/>
        </w:rPr>
        <w:t>
      Ожидаемые результаты от реализации стратегического направления "Устойчивое развитие" включают увеличение доли женщин на уровне принятия решений в составе Правления, Совета директоров и руководителей структурных подразделений Общества не менее 30 %, повышение оценки при диагностике системы корпоративного управления на 91 % к 2034 году, оптимизацию потребления электроэнергии на 3 % (по соотношению к показателям 2024 года) и 100 %-ный охват внедрения водосберегающего оборудования на всех объектах Общества к 2034 году.</w:t>
      </w:r>
    </w:p>
    <w:bookmarkEnd w:id="432"/>
    <w:bookmarkStart w:name="z464" w:id="433"/>
    <w:p>
      <w:pPr>
        <w:spacing w:after="0"/>
        <w:ind w:left="0"/>
        <w:jc w:val="both"/>
      </w:pPr>
      <w:r>
        <w:rPr>
          <w:rFonts w:ascii="Times New Roman"/>
          <w:b w:val="false"/>
          <w:i w:val="false"/>
          <w:color w:val="000000"/>
          <w:sz w:val="28"/>
        </w:rPr>
        <w:t>
      Достижение миссии и основных приоритетов Общества будет обеспечено за счет регулярного мониторинга указанных в таблице № 5 стратегических КПД.</w:t>
      </w:r>
    </w:p>
    <w:bookmarkEnd w:id="433"/>
    <w:p>
      <w:pPr>
        <w:spacing w:after="0"/>
        <w:ind w:left="0"/>
        <w:jc w:val="both"/>
      </w:pPr>
      <w:r>
        <w:rPr>
          <w:rFonts w:ascii="Times New Roman"/>
          <w:b/>
          <w:i w:val="false"/>
          <w:color w:val="000000"/>
          <w:sz w:val="28"/>
        </w:rPr>
        <w:t xml:space="preserve">4. Риски, которые могут повлиять на реализацию Плана развития </w:t>
      </w:r>
    </w:p>
    <w:bookmarkStart w:name="z466" w:id="434"/>
    <w:p>
      <w:pPr>
        <w:spacing w:after="0"/>
        <w:ind w:left="0"/>
        <w:jc w:val="both"/>
      </w:pPr>
      <w:r>
        <w:rPr>
          <w:rFonts w:ascii="Times New Roman"/>
          <w:b w:val="false"/>
          <w:i w:val="false"/>
          <w:color w:val="000000"/>
          <w:sz w:val="28"/>
        </w:rPr>
        <w:t>
      Общество выявляет и оценивает риски, которые могут повлиять на способность Общества реализовать свой план развития и достичь поставленных бизнес-целей. В рамках этой работы Общество выявляет и оценивает риски, которые могут повлиять на реализацию и достижение бизнес-целей. Общество приоритизирует риски в зависимости от их серьезности, с учетом риск-аппетита. Затем Общество выбирает способы реагирования на риски и осуществляет мониторинг эффективности деятельности на предмет изменения. Таким образом, в ходе реализации Плана развития и бизнес-целей формируется комплексный взгляд на величину принимаемого Обществом риска.</w:t>
      </w:r>
    </w:p>
    <w:bookmarkEnd w:id="434"/>
    <w:bookmarkStart w:name="z467" w:id="435"/>
    <w:p>
      <w:pPr>
        <w:spacing w:after="0"/>
        <w:ind w:left="0"/>
        <w:jc w:val="both"/>
      </w:pPr>
      <w:r>
        <w:rPr>
          <w:rFonts w:ascii="Times New Roman"/>
          <w:b w:val="false"/>
          <w:i w:val="false"/>
          <w:color w:val="000000"/>
          <w:sz w:val="28"/>
        </w:rPr>
        <w:t xml:space="preserve">
      Все риски Общества неотъемлемо связаны со стратегическими и операционными целями развития и поддержания деятельности. Некоторые риски одновременно могут влиять на достижение нескольких целей. Так, основными рисками, влияющими на реализацию прогнозных стратегических КПД Общества, являются такие риски как невыполнение показателя по объему выручки от КВМ, а также недостижение запланированного дохода от аренды офисной и коммерческой недвижимости, уменьшение или отсутствие государственного заказа на проведение международных/ специализированных выставок EXPO, операционная убыточность и другие (таблица № 6). </w:t>
      </w:r>
    </w:p>
    <w:bookmarkEnd w:id="435"/>
    <w:bookmarkStart w:name="z468" w:id="436"/>
    <w:p>
      <w:pPr>
        <w:spacing w:after="0"/>
        <w:ind w:left="0"/>
        <w:jc w:val="both"/>
      </w:pPr>
      <w:r>
        <w:rPr>
          <w:rFonts w:ascii="Times New Roman"/>
          <w:b w:val="false"/>
          <w:i w:val="false"/>
          <w:color w:val="000000"/>
          <w:sz w:val="28"/>
        </w:rPr>
        <w:t xml:space="preserve">
      Кроме того, деятельность Общества подвержена ряду рисков неспецифического характера, которые включают риск невыполнения обязательств поставщиками и подрядчиками, производственные и управленческие риски, маркетинговый риск, риск дефицита специалистов, административный риск и риск форс-мажорных обстоятельств. </w:t>
      </w:r>
    </w:p>
    <w:bookmarkEnd w:id="436"/>
    <w:bookmarkStart w:name="z469" w:id="437"/>
    <w:p>
      <w:pPr>
        <w:spacing w:after="0"/>
        <w:ind w:left="0"/>
        <w:jc w:val="both"/>
      </w:pPr>
      <w:r>
        <w:rPr>
          <w:rFonts w:ascii="Times New Roman"/>
          <w:b w:val="false"/>
          <w:i w:val="false"/>
          <w:color w:val="000000"/>
          <w:sz w:val="28"/>
        </w:rPr>
        <w:t>
      При определении всех возможных рисков Общество способно заблаговременно реагировать на все события, которые могут оказать негативное влияние на достижение стратегических, операционных и других целей Общества.</w:t>
      </w:r>
    </w:p>
    <w:bookmarkEnd w:id="437"/>
    <w:bookmarkStart w:name="z470" w:id="438"/>
    <w:p>
      <w:pPr>
        <w:spacing w:after="0"/>
        <w:ind w:left="0"/>
        <w:jc w:val="both"/>
      </w:pPr>
      <w:r>
        <w:rPr>
          <w:rFonts w:ascii="Times New Roman"/>
          <w:b w:val="false"/>
          <w:i w:val="false"/>
          <w:color w:val="000000"/>
          <w:sz w:val="28"/>
        </w:rPr>
        <w:t>
      Таблица № 5. Стратегические КПД на 2025 – 2034 годы</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росту национальной экономики</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достижения национальных индикаторов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ВВП на душу населения в текущих ценах</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в текущих ценах</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 США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инвестиций в основной капитал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производительности труда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тенге/чел.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деятельностью Общества</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доходности Общества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международных выставках EXPO</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деловых и культурных мероприятий, проводимых на международных выставках EXPO</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мероприятий</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площадками для КВМ, объектами и имуществом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от проведения КВМ, сдачи коммерческой недвижимости в аренду, включая коммерциализацию сервисных услуг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MICE-туризма (гостиницы "Hilton", МВЦ "EXPO" и КЦ)</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MICE-мероприятий</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мероприятий</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операционной безубыточности Общества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финансовой устойчивости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развитие Общества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стандартов социальной ответственности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гендерного равенства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женщин на уровне принятия решений</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системы корпоративного управления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 соблюдение принципов ESG</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корпоративного управления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экологическим воздействием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потребления ресурсов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потребления электрической энергии</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активов и цифровизация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водосберегающего оборудования</w:t>
            </w: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39"/>
          <w:p>
            <w:pPr>
              <w:spacing w:after="20"/>
              <w:ind w:left="20"/>
              <w:jc w:val="both"/>
            </w:pPr>
            <w:r>
              <w:rPr>
                <w:rFonts w:ascii="Times New Roman"/>
                <w:b w:val="false"/>
                <w:i w:val="false"/>
                <w:color w:val="000000"/>
                <w:sz w:val="20"/>
              </w:rPr>
              <w:t>
Таблица № 6. Система управления рисками</w:t>
            </w:r>
          </w:p>
          <w:bookmarkEnd w:id="439"/>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 или угрозы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угрозы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предупреждению риска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реагированию при наступлении риска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 Содействие росту национальной экономики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Недостижение национальных индикаторов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0"/>
          <w:p>
            <w:pPr>
              <w:spacing w:after="20"/>
              <w:ind w:left="20"/>
              <w:jc w:val="both"/>
            </w:pPr>
            <w:r>
              <w:rPr>
                <w:rFonts w:ascii="Times New Roman"/>
                <w:b w:val="false"/>
                <w:i w:val="false"/>
                <w:color w:val="000000"/>
                <w:sz w:val="20"/>
              </w:rPr>
              <w:t>
1. Снижение экономической активности Общества</w:t>
            </w:r>
          </w:p>
          <w:bookmarkEnd w:id="440"/>
          <w:bookmarkStart w:name="z473" w:id="441"/>
          <w:p>
            <w:pPr>
              <w:spacing w:after="20"/>
              <w:ind w:left="20"/>
              <w:jc w:val="both"/>
            </w:pPr>
            <w:r>
              <w:rPr>
                <w:rFonts w:ascii="Times New Roman"/>
                <w:b w:val="false"/>
                <w:i w:val="false"/>
                <w:color w:val="000000"/>
                <w:sz w:val="20"/>
              </w:rPr>
              <w:t>
2.Уменьшение производительности труда Общества</w:t>
            </w:r>
          </w:p>
          <w:bookmarkEnd w:id="441"/>
          <w:bookmarkStart w:name="z474" w:id="442"/>
          <w:p>
            <w:pPr>
              <w:spacing w:after="20"/>
              <w:ind w:left="20"/>
              <w:jc w:val="both"/>
            </w:pPr>
            <w:r>
              <w:rPr>
                <w:rFonts w:ascii="Times New Roman"/>
                <w:b w:val="false"/>
                <w:i w:val="false"/>
                <w:color w:val="000000"/>
                <w:sz w:val="20"/>
              </w:rPr>
              <w:t>
3.Снижение притока инвестиций в основной капитал Общества</w:t>
            </w:r>
          </w:p>
          <w:bookmarkEnd w:id="442"/>
          <w:bookmarkStart w:name="z475" w:id="443"/>
          <w:p>
            <w:pPr>
              <w:spacing w:after="20"/>
              <w:ind w:left="20"/>
              <w:jc w:val="both"/>
            </w:pPr>
            <w:r>
              <w:rPr>
                <w:rFonts w:ascii="Times New Roman"/>
                <w:b w:val="false"/>
                <w:i w:val="false"/>
                <w:color w:val="000000"/>
                <w:sz w:val="20"/>
              </w:rPr>
              <w:t>
4. Уменьшение спроса на услуги Общества</w:t>
            </w:r>
          </w:p>
          <w:bookmarkEnd w:id="443"/>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4"/>
          <w:p>
            <w:pPr>
              <w:spacing w:after="20"/>
              <w:ind w:left="20"/>
              <w:jc w:val="both"/>
            </w:pPr>
            <w:r>
              <w:rPr>
                <w:rFonts w:ascii="Times New Roman"/>
                <w:b w:val="false"/>
                <w:i w:val="false"/>
                <w:color w:val="000000"/>
                <w:sz w:val="20"/>
              </w:rPr>
              <w:t>
1.1. Своевременная корректировка ценовой политики арендных ставок.</w:t>
            </w:r>
          </w:p>
          <w:bookmarkEnd w:id="444"/>
          <w:bookmarkStart w:name="z477" w:id="445"/>
          <w:p>
            <w:pPr>
              <w:spacing w:after="20"/>
              <w:ind w:left="20"/>
              <w:jc w:val="both"/>
            </w:pPr>
            <w:r>
              <w:rPr>
                <w:rFonts w:ascii="Times New Roman"/>
                <w:b w:val="false"/>
                <w:i w:val="false"/>
                <w:color w:val="000000"/>
                <w:sz w:val="20"/>
              </w:rPr>
              <w:t>
1.2. Постоянный мониторинг действующих не платежеспособных арендаторов и расторжение договоров.</w:t>
            </w:r>
          </w:p>
          <w:bookmarkEnd w:id="445"/>
          <w:bookmarkStart w:name="z478" w:id="446"/>
          <w:p>
            <w:pPr>
              <w:spacing w:after="20"/>
              <w:ind w:left="20"/>
              <w:jc w:val="both"/>
            </w:pPr>
            <w:r>
              <w:rPr>
                <w:rFonts w:ascii="Times New Roman"/>
                <w:b w:val="false"/>
                <w:i w:val="false"/>
                <w:color w:val="000000"/>
                <w:sz w:val="20"/>
              </w:rPr>
              <w:t xml:space="preserve">
2.1. Введение постоянного мониторинга – измерение и анализ всех связанных бизнес-процессов Общества в части предоставления услуг Обществом. </w:t>
            </w:r>
          </w:p>
          <w:bookmarkEnd w:id="446"/>
          <w:bookmarkStart w:name="z479" w:id="447"/>
          <w:p>
            <w:pPr>
              <w:spacing w:after="20"/>
              <w:ind w:left="20"/>
              <w:jc w:val="both"/>
            </w:pPr>
            <w:r>
              <w:rPr>
                <w:rFonts w:ascii="Times New Roman"/>
                <w:b w:val="false"/>
                <w:i w:val="false"/>
                <w:color w:val="000000"/>
                <w:sz w:val="20"/>
              </w:rPr>
              <w:t>
2.2. Проведение постоянных улучшений таких как автоматизация бизнес – процессов, увеличение времени предоставляемых услуг и в последующем корректировка операций.</w:t>
            </w:r>
          </w:p>
          <w:bookmarkEnd w:id="447"/>
          <w:bookmarkStart w:name="z480" w:id="448"/>
          <w:p>
            <w:pPr>
              <w:spacing w:after="20"/>
              <w:ind w:left="20"/>
              <w:jc w:val="both"/>
            </w:pPr>
            <w:r>
              <w:rPr>
                <w:rFonts w:ascii="Times New Roman"/>
                <w:b w:val="false"/>
                <w:i w:val="false"/>
                <w:color w:val="000000"/>
                <w:sz w:val="20"/>
              </w:rPr>
              <w:t>
2.3. Инвестирование в образование и профессиональную подготовку кадров</w:t>
            </w:r>
          </w:p>
          <w:bookmarkEnd w:id="448"/>
          <w:bookmarkStart w:name="z481" w:id="449"/>
          <w:p>
            <w:pPr>
              <w:spacing w:after="20"/>
              <w:ind w:left="20"/>
              <w:jc w:val="both"/>
            </w:pPr>
            <w:r>
              <w:rPr>
                <w:rFonts w:ascii="Times New Roman"/>
                <w:b w:val="false"/>
                <w:i w:val="false"/>
                <w:color w:val="000000"/>
                <w:sz w:val="20"/>
              </w:rPr>
              <w:t>
3.1. Эффективное управление направлениями деятельности для увеличения доходности Общества и в последующем увеличения доли инвестиций в основной капитал.</w:t>
            </w:r>
          </w:p>
          <w:bookmarkEnd w:id="449"/>
          <w:p>
            <w:pPr>
              <w:spacing w:after="20"/>
              <w:ind w:left="20"/>
              <w:jc w:val="both"/>
            </w:pPr>
            <w:r>
              <w:rPr>
                <w:rFonts w:ascii="Times New Roman"/>
                <w:b w:val="false"/>
                <w:i w:val="false"/>
                <w:color w:val="000000"/>
                <w:sz w:val="20"/>
              </w:rPr>
              <w:t>
4.1. На постоянной основе ведение переговоров и взаимодействие с государственными органами и компаниями, крупными выставочными организациями и арендаторами - потенциальными заказчиками услуг Общества.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0"/>
          <w:p>
            <w:pPr>
              <w:spacing w:after="20"/>
              <w:ind w:left="20"/>
              <w:jc w:val="both"/>
            </w:pPr>
            <w:r>
              <w:rPr>
                <w:rFonts w:ascii="Times New Roman"/>
                <w:b w:val="false"/>
                <w:i w:val="false"/>
                <w:color w:val="000000"/>
                <w:sz w:val="20"/>
              </w:rPr>
              <w:t>
1. Экономические стимулы.</w:t>
            </w:r>
          </w:p>
          <w:bookmarkEnd w:id="450"/>
          <w:bookmarkStart w:name="z483" w:id="451"/>
          <w:p>
            <w:pPr>
              <w:spacing w:after="20"/>
              <w:ind w:left="20"/>
              <w:jc w:val="both"/>
            </w:pPr>
            <w:r>
              <w:rPr>
                <w:rFonts w:ascii="Times New Roman"/>
                <w:b w:val="false"/>
                <w:i w:val="false"/>
                <w:color w:val="000000"/>
                <w:sz w:val="20"/>
              </w:rPr>
              <w:t>
2.Обучение и переквалификация.</w:t>
            </w:r>
          </w:p>
          <w:bookmarkEnd w:id="451"/>
          <w:p>
            <w:pPr>
              <w:spacing w:after="20"/>
              <w:ind w:left="20"/>
              <w:jc w:val="both"/>
            </w:pPr>
            <w:r>
              <w:rPr>
                <w:rFonts w:ascii="Times New Roman"/>
                <w:b w:val="false"/>
                <w:i w:val="false"/>
                <w:color w:val="000000"/>
                <w:sz w:val="20"/>
              </w:rPr>
              <w:t>
3. Привлечение инвестиций.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 Эффективное управление деятельностью Общества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показателя по объему выручки от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2"/>
          <w:p>
            <w:pPr>
              <w:spacing w:after="20"/>
              <w:ind w:left="20"/>
              <w:jc w:val="both"/>
            </w:pPr>
            <w:r>
              <w:rPr>
                <w:rFonts w:ascii="Times New Roman"/>
                <w:b w:val="false"/>
                <w:i w:val="false"/>
                <w:color w:val="000000"/>
                <w:sz w:val="20"/>
              </w:rPr>
              <w:t>
1. Недостижение стратегической цели Общества.</w:t>
            </w:r>
          </w:p>
          <w:bookmarkEnd w:id="452"/>
          <w:bookmarkStart w:name="z485" w:id="453"/>
          <w:p>
            <w:pPr>
              <w:spacing w:after="20"/>
              <w:ind w:left="20"/>
              <w:jc w:val="both"/>
            </w:pPr>
            <w:r>
              <w:rPr>
                <w:rFonts w:ascii="Times New Roman"/>
                <w:b w:val="false"/>
                <w:i w:val="false"/>
                <w:color w:val="000000"/>
                <w:sz w:val="20"/>
              </w:rPr>
              <w:t>
2. Недополучение выручки от проведения КВМ Обществом.</w:t>
            </w:r>
          </w:p>
          <w:bookmarkEnd w:id="453"/>
          <w:p>
            <w:pPr>
              <w:spacing w:after="20"/>
              <w:ind w:left="20"/>
              <w:jc w:val="both"/>
            </w:pPr>
            <w:r>
              <w:rPr>
                <w:rFonts w:ascii="Times New Roman"/>
                <w:b w:val="false"/>
                <w:i w:val="false"/>
                <w:color w:val="000000"/>
                <w:sz w:val="20"/>
              </w:rPr>
              <w:t>
3.Ухудшение репутации и имиджа Общества.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4"/>
          <w:p>
            <w:pPr>
              <w:spacing w:after="20"/>
              <w:ind w:left="20"/>
              <w:jc w:val="both"/>
            </w:pPr>
            <w:r>
              <w:rPr>
                <w:rFonts w:ascii="Times New Roman"/>
                <w:b w:val="false"/>
                <w:i w:val="false"/>
                <w:color w:val="000000"/>
                <w:sz w:val="20"/>
              </w:rPr>
              <w:t>
1. Проведение переговоров и встреч с потенциальными арендаторами с презентацией объектов.</w:t>
            </w:r>
          </w:p>
          <w:bookmarkEnd w:id="454"/>
          <w:bookmarkStart w:name="z487" w:id="455"/>
          <w:p>
            <w:pPr>
              <w:spacing w:after="20"/>
              <w:ind w:left="20"/>
              <w:jc w:val="both"/>
            </w:pPr>
            <w:r>
              <w:rPr>
                <w:rFonts w:ascii="Times New Roman"/>
                <w:b w:val="false"/>
                <w:i w:val="false"/>
                <w:color w:val="000000"/>
                <w:sz w:val="20"/>
              </w:rPr>
              <w:t>
2. Усиление взаимодействия с государственными органами и компаниями для привлечения потенциальных заказчиков из государственного сектора.</w:t>
            </w:r>
          </w:p>
          <w:bookmarkEnd w:id="455"/>
          <w:bookmarkStart w:name="z488" w:id="456"/>
          <w:p>
            <w:pPr>
              <w:spacing w:after="20"/>
              <w:ind w:left="20"/>
              <w:jc w:val="both"/>
            </w:pPr>
            <w:r>
              <w:rPr>
                <w:rFonts w:ascii="Times New Roman"/>
                <w:b w:val="false"/>
                <w:i w:val="false"/>
                <w:color w:val="000000"/>
                <w:sz w:val="20"/>
              </w:rPr>
              <w:t xml:space="preserve">
3. Установление контактов с крупными выставочными организациями и агентствами, привлечение международных компаний для организации и проведения мероприятий на площадках Конгресс-центра и Международного выставочного центра "EXPO". </w:t>
            </w:r>
          </w:p>
          <w:bookmarkEnd w:id="456"/>
          <w:p>
            <w:pPr>
              <w:spacing w:after="20"/>
              <w:ind w:left="20"/>
              <w:jc w:val="both"/>
            </w:pPr>
            <w:r>
              <w:rPr>
                <w:rFonts w:ascii="Times New Roman"/>
                <w:b w:val="false"/>
                <w:i w:val="false"/>
                <w:color w:val="000000"/>
                <w:sz w:val="20"/>
              </w:rPr>
              <w:t xml:space="preserve">
4. Заблаговременный перенос мероприятий.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57"/>
          <w:p>
            <w:pPr>
              <w:spacing w:after="20"/>
              <w:ind w:left="20"/>
              <w:jc w:val="both"/>
            </w:pPr>
            <w:r>
              <w:rPr>
                <w:rFonts w:ascii="Times New Roman"/>
                <w:b w:val="false"/>
                <w:i w:val="false"/>
                <w:color w:val="000000"/>
                <w:sz w:val="20"/>
              </w:rPr>
              <w:t>
1. Анализ, выявление и устранение (по мере возможности) причин недостижения показателя.</w:t>
            </w:r>
          </w:p>
          <w:bookmarkEnd w:id="457"/>
          <w:bookmarkStart w:name="z490" w:id="458"/>
          <w:p>
            <w:pPr>
              <w:spacing w:after="20"/>
              <w:ind w:left="20"/>
              <w:jc w:val="both"/>
            </w:pPr>
            <w:r>
              <w:rPr>
                <w:rFonts w:ascii="Times New Roman"/>
                <w:b w:val="false"/>
                <w:i w:val="false"/>
                <w:color w:val="000000"/>
                <w:sz w:val="20"/>
              </w:rPr>
              <w:t>
2. Пересмотр маркетинговой и ценовой политик.</w:t>
            </w:r>
          </w:p>
          <w:bookmarkEnd w:id="458"/>
          <w:p>
            <w:pPr>
              <w:spacing w:after="20"/>
              <w:ind w:left="20"/>
              <w:jc w:val="both"/>
            </w:pPr>
            <w:r>
              <w:rPr>
                <w:rFonts w:ascii="Times New Roman"/>
                <w:b w:val="false"/>
                <w:i w:val="false"/>
                <w:color w:val="000000"/>
                <w:sz w:val="20"/>
              </w:rPr>
              <w:t>
3. Ведение календаря мероприятий Международного выставочного центра "EXPO" и Конгресс-центра на предстоящий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Недостижение запланированного дохода от аренды офисной и коммерческой недвижимости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59"/>
          <w:p>
            <w:pPr>
              <w:spacing w:after="20"/>
              <w:ind w:left="20"/>
              <w:jc w:val="both"/>
            </w:pPr>
            <w:r>
              <w:rPr>
                <w:rFonts w:ascii="Times New Roman"/>
                <w:b w:val="false"/>
                <w:i w:val="false"/>
                <w:color w:val="000000"/>
                <w:sz w:val="20"/>
              </w:rPr>
              <w:t>
1. Недостижение стратегических показателей Общества.</w:t>
            </w:r>
          </w:p>
          <w:bookmarkEnd w:id="459"/>
          <w:bookmarkStart w:name="z492" w:id="460"/>
          <w:p>
            <w:pPr>
              <w:spacing w:after="20"/>
              <w:ind w:left="20"/>
              <w:jc w:val="both"/>
            </w:pPr>
            <w:r>
              <w:rPr>
                <w:rFonts w:ascii="Times New Roman"/>
                <w:b w:val="false"/>
                <w:i w:val="false"/>
                <w:color w:val="000000"/>
                <w:sz w:val="20"/>
              </w:rPr>
              <w:t>
2. Недополученная выручка от сдачи в аренду коммерческой недвижимости Обществом.</w:t>
            </w:r>
          </w:p>
          <w:bookmarkEnd w:id="460"/>
          <w:p>
            <w:pPr>
              <w:spacing w:after="20"/>
              <w:ind w:left="20"/>
              <w:jc w:val="both"/>
            </w:pPr>
            <w:r>
              <w:rPr>
                <w:rFonts w:ascii="Times New Roman"/>
                <w:b w:val="false"/>
                <w:i w:val="false"/>
                <w:color w:val="000000"/>
                <w:sz w:val="20"/>
              </w:rPr>
              <w:t>
3. Снижение доходов из-за недостаточной загруженности площадей Общества.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1"/>
          <w:p>
            <w:pPr>
              <w:spacing w:after="20"/>
              <w:ind w:left="20"/>
              <w:jc w:val="both"/>
            </w:pPr>
            <w:r>
              <w:rPr>
                <w:rFonts w:ascii="Times New Roman"/>
                <w:b w:val="false"/>
                <w:i w:val="false"/>
                <w:color w:val="000000"/>
                <w:sz w:val="20"/>
              </w:rPr>
              <w:t>
1. Проведение переговоров и встреч с потенциальными арендаторами с презентацией объектов.</w:t>
            </w:r>
          </w:p>
          <w:bookmarkEnd w:id="461"/>
          <w:bookmarkStart w:name="z494" w:id="462"/>
          <w:p>
            <w:pPr>
              <w:spacing w:after="20"/>
              <w:ind w:left="20"/>
              <w:jc w:val="both"/>
            </w:pPr>
            <w:r>
              <w:rPr>
                <w:rFonts w:ascii="Times New Roman"/>
                <w:b w:val="false"/>
                <w:i w:val="false"/>
                <w:color w:val="000000"/>
                <w:sz w:val="20"/>
              </w:rPr>
              <w:t xml:space="preserve">
2. При корректировке плана дохода учет наличия поручений вышестоящих государственных органов по льготам. </w:t>
            </w:r>
          </w:p>
          <w:bookmarkEnd w:id="462"/>
          <w:bookmarkStart w:name="z495" w:id="463"/>
          <w:p>
            <w:pPr>
              <w:spacing w:after="20"/>
              <w:ind w:left="20"/>
              <w:jc w:val="both"/>
            </w:pPr>
            <w:r>
              <w:rPr>
                <w:rFonts w:ascii="Times New Roman"/>
                <w:b w:val="false"/>
                <w:i w:val="false"/>
                <w:color w:val="000000"/>
                <w:sz w:val="20"/>
              </w:rPr>
              <w:t>
3. Рассмотрение возможности предоставления гибких условий аренды для привлечения потенциальных арендаторов общественного питания и сферы услуг.</w:t>
            </w:r>
          </w:p>
          <w:bookmarkEnd w:id="463"/>
          <w:p>
            <w:pPr>
              <w:spacing w:after="20"/>
              <w:ind w:left="20"/>
              <w:jc w:val="both"/>
            </w:pPr>
            <w:r>
              <w:rPr>
                <w:rFonts w:ascii="Times New Roman"/>
                <w:b w:val="false"/>
                <w:i w:val="false"/>
                <w:color w:val="000000"/>
                <w:sz w:val="20"/>
              </w:rPr>
              <w:t>
4. Своевременная корректировка прогнозных показателей выручки от сдачи в аренду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Регулярные переговоры с потенциальными арендаторами, проведение показа свободных помещений.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срыва MICE-мероприятий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4"/>
          <w:p>
            <w:pPr>
              <w:spacing w:after="20"/>
              <w:ind w:left="20"/>
              <w:jc w:val="both"/>
            </w:pPr>
            <w:r>
              <w:rPr>
                <w:rFonts w:ascii="Times New Roman"/>
                <w:b w:val="false"/>
                <w:i w:val="false"/>
                <w:color w:val="000000"/>
                <w:sz w:val="20"/>
              </w:rPr>
              <w:t>
1. Финансовые убытки по причине отмены выставки ЭКСПО-2025 Осака, ЭКСПО-2030 Эр-Рияд.</w:t>
            </w:r>
          </w:p>
          <w:bookmarkEnd w:id="464"/>
          <w:p>
            <w:pPr>
              <w:spacing w:after="20"/>
              <w:ind w:left="20"/>
              <w:jc w:val="both"/>
            </w:pPr>
            <w:r>
              <w:rPr>
                <w:rFonts w:ascii="Times New Roman"/>
                <w:b w:val="false"/>
                <w:i w:val="false"/>
                <w:color w:val="000000"/>
                <w:sz w:val="20"/>
              </w:rPr>
              <w:t>
2. Отсутствие разрешительной документации от Организатора ЭКСПО-2025 Осака и ЭКСПО-2030 Эр-Рияд, необходимой для получения разрешения на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5"/>
          <w:p>
            <w:pPr>
              <w:spacing w:after="20"/>
              <w:ind w:left="20"/>
              <w:jc w:val="both"/>
            </w:pPr>
            <w:r>
              <w:rPr>
                <w:rFonts w:ascii="Times New Roman"/>
                <w:b w:val="false"/>
                <w:i w:val="false"/>
                <w:color w:val="000000"/>
                <w:sz w:val="20"/>
              </w:rPr>
              <w:t>
1. Проведение переговоров с заказчиком.</w:t>
            </w:r>
          </w:p>
          <w:bookmarkEnd w:id="465"/>
          <w:bookmarkStart w:name="z498" w:id="466"/>
          <w:p>
            <w:pPr>
              <w:spacing w:after="20"/>
              <w:ind w:left="20"/>
              <w:jc w:val="both"/>
            </w:pPr>
            <w:r>
              <w:rPr>
                <w:rFonts w:ascii="Times New Roman"/>
                <w:b w:val="false"/>
                <w:i w:val="false"/>
                <w:color w:val="000000"/>
                <w:sz w:val="20"/>
              </w:rPr>
              <w:t xml:space="preserve">
2.Усиление взаимодействия с государственными органами и компаниями для привлечения потенциальных заказчиков из государственного сектора. </w:t>
            </w:r>
          </w:p>
          <w:bookmarkEnd w:id="466"/>
          <w:p>
            <w:pPr>
              <w:spacing w:after="20"/>
              <w:ind w:left="20"/>
              <w:jc w:val="both"/>
            </w:pPr>
            <w:r>
              <w:rPr>
                <w:rFonts w:ascii="Times New Roman"/>
                <w:b w:val="false"/>
                <w:i w:val="false"/>
                <w:color w:val="000000"/>
                <w:sz w:val="20"/>
              </w:rPr>
              <w:t xml:space="preserve">
3. Организация и проведение собственных мероприятий Общества; 4. Заблаговременный перенос мероприятий.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67"/>
          <w:p>
            <w:pPr>
              <w:spacing w:after="20"/>
              <w:ind w:left="20"/>
              <w:jc w:val="both"/>
            </w:pPr>
            <w:r>
              <w:rPr>
                <w:rFonts w:ascii="Times New Roman"/>
                <w:b w:val="false"/>
                <w:i w:val="false"/>
                <w:color w:val="000000"/>
                <w:sz w:val="20"/>
              </w:rPr>
              <w:t>
1. Пересмотр операционной деятельности по проведению мероприятий, включая все взаимодействия с ответственными подразделениями Общества.</w:t>
            </w:r>
          </w:p>
          <w:bookmarkEnd w:id="467"/>
          <w:bookmarkStart w:name="z500" w:id="468"/>
          <w:p>
            <w:pPr>
              <w:spacing w:after="20"/>
              <w:ind w:left="20"/>
              <w:jc w:val="both"/>
            </w:pPr>
            <w:r>
              <w:rPr>
                <w:rFonts w:ascii="Times New Roman"/>
                <w:b w:val="false"/>
                <w:i w:val="false"/>
                <w:color w:val="000000"/>
                <w:sz w:val="20"/>
              </w:rPr>
              <w:t>
2. Привлечение профессиональных и компетентных в соответствующей отрасли подрядчиков.</w:t>
            </w:r>
          </w:p>
          <w:bookmarkEnd w:id="468"/>
          <w:bookmarkStart w:name="z501" w:id="469"/>
          <w:p>
            <w:pPr>
              <w:spacing w:after="20"/>
              <w:ind w:left="20"/>
              <w:jc w:val="both"/>
            </w:pPr>
            <w:r>
              <w:rPr>
                <w:rFonts w:ascii="Times New Roman"/>
                <w:b w:val="false"/>
                <w:i w:val="false"/>
                <w:color w:val="000000"/>
                <w:sz w:val="20"/>
              </w:rPr>
              <w:t>
3. Усиление работы по организации и проведению мероприятий по итогам проведенного анализа и мониторинга рынка.</w:t>
            </w:r>
          </w:p>
          <w:bookmarkEnd w:id="469"/>
          <w:p>
            <w:pPr>
              <w:spacing w:after="20"/>
              <w:ind w:left="20"/>
              <w:jc w:val="both"/>
            </w:pPr>
            <w:r>
              <w:rPr>
                <w:rFonts w:ascii="Times New Roman"/>
                <w:b w:val="false"/>
                <w:i w:val="false"/>
                <w:color w:val="000000"/>
                <w:sz w:val="20"/>
              </w:rPr>
              <w:t>
4. Применение штрафных санкций к подрядным организациям и/или внесение в реестр недобросовестных поставщиков.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операционной убыточности деятельности Общества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Отрицательный финансовый результат Общества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0"/>
          <w:p>
            <w:pPr>
              <w:spacing w:after="20"/>
              <w:ind w:left="20"/>
              <w:jc w:val="both"/>
            </w:pPr>
            <w:r>
              <w:rPr>
                <w:rFonts w:ascii="Times New Roman"/>
                <w:b w:val="false"/>
                <w:i w:val="false"/>
                <w:color w:val="000000"/>
                <w:sz w:val="20"/>
              </w:rPr>
              <w:t>
1. Проведение работы с государственными органами по вопросу предоставления арендных объектов Общества на возмездной основе.</w:t>
            </w:r>
          </w:p>
          <w:bookmarkEnd w:id="470"/>
          <w:p>
            <w:pPr>
              <w:spacing w:after="20"/>
              <w:ind w:left="20"/>
              <w:jc w:val="both"/>
            </w:pPr>
            <w:r>
              <w:rPr>
                <w:rFonts w:ascii="Times New Roman"/>
                <w:b w:val="false"/>
                <w:i w:val="false"/>
                <w:color w:val="000000"/>
                <w:sz w:val="20"/>
              </w:rPr>
              <w:t xml:space="preserve">
2. Согласование с Единственным акционером Общества (МТИ РК) и Комитетом государственного имущества и приватизации МФ РК о реализации активов Общества на возмездной основе.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1"/>
          <w:p>
            <w:pPr>
              <w:spacing w:after="20"/>
              <w:ind w:left="20"/>
              <w:jc w:val="both"/>
            </w:pPr>
            <w:r>
              <w:rPr>
                <w:rFonts w:ascii="Times New Roman"/>
                <w:b w:val="false"/>
                <w:i w:val="false"/>
                <w:color w:val="000000"/>
                <w:sz w:val="20"/>
              </w:rPr>
              <w:t>
1. Увеличение доходности Общества.</w:t>
            </w:r>
          </w:p>
          <w:bookmarkEnd w:id="471"/>
          <w:bookmarkStart w:name="z504" w:id="472"/>
          <w:p>
            <w:pPr>
              <w:spacing w:after="20"/>
              <w:ind w:left="20"/>
              <w:jc w:val="both"/>
            </w:pPr>
            <w:r>
              <w:rPr>
                <w:rFonts w:ascii="Times New Roman"/>
                <w:b w:val="false"/>
                <w:i w:val="false"/>
                <w:color w:val="000000"/>
                <w:sz w:val="20"/>
              </w:rPr>
              <w:t>
2. Проведение корректировки бюджета Общества в соответствии с Правилами разработки, утверждения, исполнения и мониторинга бюджета Общества.</w:t>
            </w:r>
          </w:p>
          <w:bookmarkEnd w:id="472"/>
          <w:p>
            <w:pPr>
              <w:spacing w:after="20"/>
              <w:ind w:left="20"/>
              <w:jc w:val="both"/>
            </w:pPr>
            <w:r>
              <w:rPr>
                <w:rFonts w:ascii="Times New Roman"/>
                <w:b w:val="false"/>
                <w:i w:val="false"/>
                <w:color w:val="000000"/>
                <w:sz w:val="20"/>
              </w:rPr>
              <w:t xml:space="preserve">
3. Поиск альтернативных источников финансирования, в том числе путем привлечения спонсорских инвестиций.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3. Устойчивое развитие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оценки диагностики корпоративного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3"/>
          <w:p>
            <w:pPr>
              <w:spacing w:after="20"/>
              <w:ind w:left="20"/>
              <w:jc w:val="both"/>
            </w:pPr>
            <w:r>
              <w:rPr>
                <w:rFonts w:ascii="Times New Roman"/>
                <w:b w:val="false"/>
                <w:i w:val="false"/>
                <w:color w:val="000000"/>
                <w:sz w:val="20"/>
              </w:rPr>
              <w:t>
1. Отрицательное заключение внешнего или внутреннего аудитора или заключение с оговорками.</w:t>
            </w:r>
          </w:p>
          <w:bookmarkEnd w:id="473"/>
          <w:bookmarkStart w:name="z506" w:id="474"/>
          <w:p>
            <w:pPr>
              <w:spacing w:after="20"/>
              <w:ind w:left="20"/>
              <w:jc w:val="both"/>
            </w:pPr>
            <w:r>
              <w:rPr>
                <w:rFonts w:ascii="Times New Roman"/>
                <w:b w:val="false"/>
                <w:i w:val="false"/>
                <w:color w:val="000000"/>
                <w:sz w:val="20"/>
              </w:rPr>
              <w:t>
2. Дополнительные затраты (административные, финансовые и временные ресурсы) на корректировку допущенных ошибок.</w:t>
            </w:r>
          </w:p>
          <w:bookmarkEnd w:id="474"/>
          <w:bookmarkStart w:name="z507" w:id="475"/>
          <w:p>
            <w:pPr>
              <w:spacing w:after="20"/>
              <w:ind w:left="20"/>
              <w:jc w:val="both"/>
            </w:pPr>
            <w:r>
              <w:rPr>
                <w:rFonts w:ascii="Times New Roman"/>
                <w:b w:val="false"/>
                <w:i w:val="false"/>
                <w:color w:val="000000"/>
                <w:sz w:val="20"/>
              </w:rPr>
              <w:t>
3. Принятие ошибочных управленческих решений на основе недостоверных данных отчетности.</w:t>
            </w:r>
          </w:p>
          <w:bookmarkEnd w:id="475"/>
          <w:p>
            <w:pPr>
              <w:spacing w:after="20"/>
              <w:ind w:left="20"/>
              <w:jc w:val="both"/>
            </w:pPr>
            <w:r>
              <w:rPr>
                <w:rFonts w:ascii="Times New Roman"/>
                <w:b w:val="false"/>
                <w:i w:val="false"/>
                <w:color w:val="000000"/>
                <w:sz w:val="20"/>
              </w:rPr>
              <w:t>
4. Штрафные санкции, иски по отношению к Обществу.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Заблаговременное предоставление информации и отчетов.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6"/>
          <w:p>
            <w:pPr>
              <w:spacing w:after="20"/>
              <w:ind w:left="20"/>
              <w:jc w:val="both"/>
            </w:pPr>
            <w:r>
              <w:rPr>
                <w:rFonts w:ascii="Times New Roman"/>
                <w:b w:val="false"/>
                <w:i w:val="false"/>
                <w:color w:val="000000"/>
                <w:sz w:val="20"/>
              </w:rPr>
              <w:t>
1. Информирование руководства Общества о некорректной информации, предоставленной ранее, с пояснением причин внесения корректировок.</w:t>
            </w:r>
          </w:p>
          <w:bookmarkEnd w:id="476"/>
          <w:p>
            <w:pPr>
              <w:spacing w:after="20"/>
              <w:ind w:left="20"/>
              <w:jc w:val="both"/>
            </w:pPr>
            <w:r>
              <w:rPr>
                <w:rFonts w:ascii="Times New Roman"/>
                <w:b w:val="false"/>
                <w:i w:val="false"/>
                <w:color w:val="000000"/>
                <w:sz w:val="20"/>
              </w:rPr>
              <w:t>
2. Усиление функции внутреннего контроля в процессе ведения бухгалтерского учета и подготовки финансовой отчетности.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Недостижение показателей по оптимизации энерго- и водопотребления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7"/>
          <w:p>
            <w:pPr>
              <w:spacing w:after="20"/>
              <w:ind w:left="20"/>
              <w:jc w:val="both"/>
            </w:pPr>
            <w:r>
              <w:rPr>
                <w:rFonts w:ascii="Times New Roman"/>
                <w:b w:val="false"/>
                <w:i w:val="false"/>
                <w:color w:val="000000"/>
                <w:sz w:val="20"/>
              </w:rPr>
              <w:t>
1. Ущерб репутации Общества.</w:t>
            </w:r>
          </w:p>
          <w:bookmarkEnd w:id="477"/>
          <w:bookmarkStart w:name="z510" w:id="478"/>
          <w:p>
            <w:pPr>
              <w:spacing w:after="20"/>
              <w:ind w:left="20"/>
              <w:jc w:val="both"/>
            </w:pPr>
            <w:r>
              <w:rPr>
                <w:rFonts w:ascii="Times New Roman"/>
                <w:b w:val="false"/>
                <w:i w:val="false"/>
                <w:color w:val="000000"/>
                <w:sz w:val="20"/>
              </w:rPr>
              <w:t xml:space="preserve">
2. Экологические проблемы. </w:t>
            </w:r>
          </w:p>
          <w:bookmarkEnd w:id="478"/>
          <w:bookmarkStart w:name="z511" w:id="479"/>
          <w:p>
            <w:pPr>
              <w:spacing w:after="20"/>
              <w:ind w:left="20"/>
              <w:jc w:val="both"/>
            </w:pPr>
            <w:r>
              <w:rPr>
                <w:rFonts w:ascii="Times New Roman"/>
                <w:b w:val="false"/>
                <w:i w:val="false"/>
                <w:color w:val="000000"/>
                <w:sz w:val="20"/>
              </w:rPr>
              <w:t xml:space="preserve">
3. Потенциальные штрафы и регулирование. </w:t>
            </w:r>
          </w:p>
          <w:bookmarkEnd w:id="479"/>
          <w:p>
            <w:pPr>
              <w:spacing w:after="20"/>
              <w:ind w:left="20"/>
              <w:jc w:val="both"/>
            </w:pPr>
            <w:r>
              <w:rPr>
                <w:rFonts w:ascii="Times New Roman"/>
                <w:b w:val="false"/>
                <w:i w:val="false"/>
                <w:color w:val="000000"/>
                <w:sz w:val="20"/>
              </w:rPr>
              <w:t>
4. Финансовые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0"/>
          <w:p>
            <w:pPr>
              <w:spacing w:after="20"/>
              <w:ind w:left="20"/>
              <w:jc w:val="both"/>
            </w:pPr>
            <w:r>
              <w:rPr>
                <w:rFonts w:ascii="Times New Roman"/>
                <w:b w:val="false"/>
                <w:i w:val="false"/>
                <w:color w:val="000000"/>
                <w:sz w:val="20"/>
              </w:rPr>
              <w:t>
1. Аудит и анализ потребления.</w:t>
            </w:r>
          </w:p>
          <w:bookmarkEnd w:id="480"/>
          <w:bookmarkStart w:name="z513" w:id="481"/>
          <w:p>
            <w:pPr>
              <w:spacing w:after="20"/>
              <w:ind w:left="20"/>
              <w:jc w:val="both"/>
            </w:pPr>
            <w:r>
              <w:rPr>
                <w:rFonts w:ascii="Times New Roman"/>
                <w:b w:val="false"/>
                <w:i w:val="false"/>
                <w:color w:val="000000"/>
                <w:sz w:val="20"/>
              </w:rPr>
              <w:t xml:space="preserve">
2. Внедрение энергоэффективных технологий. </w:t>
            </w:r>
          </w:p>
          <w:bookmarkEnd w:id="481"/>
          <w:bookmarkStart w:name="z514" w:id="482"/>
          <w:p>
            <w:pPr>
              <w:spacing w:after="20"/>
              <w:ind w:left="20"/>
              <w:jc w:val="both"/>
            </w:pPr>
            <w:r>
              <w:rPr>
                <w:rFonts w:ascii="Times New Roman"/>
                <w:b w:val="false"/>
                <w:i w:val="false"/>
                <w:color w:val="000000"/>
                <w:sz w:val="20"/>
              </w:rPr>
              <w:t xml:space="preserve">
3. Внедрение политик управления ресурсами. </w:t>
            </w:r>
          </w:p>
          <w:bookmarkEnd w:id="482"/>
          <w:p>
            <w:pPr>
              <w:spacing w:after="20"/>
              <w:ind w:left="20"/>
              <w:jc w:val="both"/>
            </w:pPr>
            <w:r>
              <w:rPr>
                <w:rFonts w:ascii="Times New Roman"/>
                <w:b w:val="false"/>
                <w:i w:val="false"/>
                <w:color w:val="000000"/>
                <w:sz w:val="20"/>
              </w:rPr>
              <w:t>
4. Мониторинг и оценка результатов потребления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3"/>
          <w:p>
            <w:pPr>
              <w:spacing w:after="20"/>
              <w:ind w:left="20"/>
              <w:jc w:val="both"/>
            </w:pPr>
            <w:r>
              <w:rPr>
                <w:rFonts w:ascii="Times New Roman"/>
                <w:b w:val="false"/>
                <w:i w:val="false"/>
                <w:color w:val="000000"/>
                <w:sz w:val="20"/>
              </w:rPr>
              <w:t xml:space="preserve">
1. Мониторинг и обзор бизнес-процессов. </w:t>
            </w:r>
          </w:p>
          <w:bookmarkEnd w:id="483"/>
          <w:bookmarkStart w:name="z516" w:id="484"/>
          <w:p>
            <w:pPr>
              <w:spacing w:after="20"/>
              <w:ind w:left="20"/>
              <w:jc w:val="both"/>
            </w:pPr>
            <w:r>
              <w:rPr>
                <w:rFonts w:ascii="Times New Roman"/>
                <w:b w:val="false"/>
                <w:i w:val="false"/>
                <w:color w:val="000000"/>
                <w:sz w:val="20"/>
              </w:rPr>
              <w:t xml:space="preserve">
2. Обучение персонала. </w:t>
            </w:r>
          </w:p>
          <w:bookmarkEnd w:id="484"/>
          <w:p>
            <w:pPr>
              <w:spacing w:after="20"/>
              <w:ind w:left="20"/>
              <w:jc w:val="both"/>
            </w:pPr>
            <w:r>
              <w:rPr>
                <w:rFonts w:ascii="Times New Roman"/>
                <w:b w:val="false"/>
                <w:i w:val="false"/>
                <w:color w:val="000000"/>
                <w:sz w:val="20"/>
              </w:rPr>
              <w:t>
3. Пересмотр работы с поставщиками.</w:t>
            </w:r>
          </w:p>
        </w:tc>
      </w:tr>
    </w:tbl>
    <w:bookmarkStart w:name="z517" w:id="485"/>
    <w:p>
      <w:pPr>
        <w:spacing w:after="0"/>
        <w:ind w:left="0"/>
        <w:jc w:val="both"/>
      </w:pPr>
      <w:r>
        <w:rPr>
          <w:rFonts w:ascii="Times New Roman"/>
          <w:b w:val="false"/>
          <w:i w:val="false"/>
          <w:color w:val="000000"/>
          <w:sz w:val="28"/>
        </w:rPr>
        <w:t>
      Примечание: расшифровка аббревиатур:</w:t>
      </w:r>
    </w:p>
    <w:bookmarkEnd w:id="48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план развития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АО "Национальная компания "QazExpoCongress" на 2015 – 2024 годы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МФЦА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финансовый центр "Астана"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 нные Арабские Эмираты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бизнес-центр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Объединенных Наций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конгрессно-выставочные мероприятия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Конгресс-центр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компания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"QazExpoCongress"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РК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государственного планирования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Цифрового Правительства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поддержки цифрового правительства"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стратегическому планированию и реформам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товарно-материальные ценности.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Межправительственные комиссии по торгово-экономическому сотрудничеству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ВДНХ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"Выставка достижений народного хозяйства" в г. Москва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технопарк IT – стартапов "Astana Hub"</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2019 – 2022 года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(Earnings before interest, taxes, depreciation and amortization) прибыль компании до вычета процентов, налогов, износа и амортизации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social, governance) свод правил и подходов к ведению бизнеса, которые способствуют его устойчивому развитию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МВЦ "EXPO"</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выставочный центр "EXPO"</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IT-университет, IT University</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"Astana IT University"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performance indicators – ключевые показатели эффективности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18" w:id="486"/>
          <w:p>
            <w:pPr>
              <w:spacing w:after="20"/>
              <w:ind w:left="20"/>
              <w:jc w:val="both"/>
            </w:pPr>
            <w:r>
              <w:rPr>
                <w:rFonts w:ascii="Times New Roman"/>
                <w:b w:val="false"/>
                <w:i w:val="false"/>
                <w:color w:val="000000"/>
                <w:sz w:val="20"/>
              </w:rPr>
              <w:t xml:space="preserve">
(Meetings Incentives Conferences Exhibitions) – аббревиатура совокупности услуг, связанных с организацией и проведением деловых мероприятий. </w:t>
            </w:r>
          </w:p>
          <w:bookmarkEnd w:id="486"/>
          <w:bookmarkStart w:name="z519" w:id="487"/>
          <w:p>
            <w:pPr>
              <w:spacing w:after="20"/>
              <w:ind w:left="20"/>
              <w:jc w:val="both"/>
            </w:pPr>
            <w:r>
              <w:rPr>
                <w:rFonts w:ascii="Times New Roman"/>
                <w:b w:val="false"/>
                <w:i w:val="false"/>
                <w:color w:val="000000"/>
                <w:sz w:val="20"/>
              </w:rPr>
              <w:t>
Meetings – деловые встречи, цикловые совещания, переговоры, презентации, семинары.</w:t>
            </w:r>
          </w:p>
          <w:bookmarkEnd w:id="487"/>
          <w:bookmarkStart w:name="z520" w:id="488"/>
          <w:p>
            <w:pPr>
              <w:spacing w:after="20"/>
              <w:ind w:left="20"/>
              <w:jc w:val="both"/>
            </w:pPr>
            <w:r>
              <w:rPr>
                <w:rFonts w:ascii="Times New Roman"/>
                <w:b w:val="false"/>
                <w:i w:val="false"/>
                <w:color w:val="000000"/>
                <w:sz w:val="20"/>
              </w:rPr>
              <w:t>
Incentives – инсентив, поощрительные поездки, тимбилдинги, мотивационные программы, стимулирование лояльности партнеров, сотрудников, дилеров.</w:t>
            </w:r>
          </w:p>
          <w:bookmarkEnd w:id="488"/>
          <w:bookmarkStart w:name="z521" w:id="489"/>
          <w:p>
            <w:pPr>
              <w:spacing w:after="20"/>
              <w:ind w:left="20"/>
              <w:jc w:val="both"/>
            </w:pPr>
            <w:r>
              <w:rPr>
                <w:rFonts w:ascii="Times New Roman"/>
                <w:b w:val="false"/>
                <w:i w:val="false"/>
                <w:color w:val="000000"/>
                <w:sz w:val="20"/>
              </w:rPr>
              <w:t>
Conferences – конференции, форумы, конгрессы</w:t>
            </w:r>
          </w:p>
          <w:bookmarkEnd w:id="489"/>
          <w:p>
            <w:pPr>
              <w:spacing w:after="20"/>
              <w:ind w:left="20"/>
              <w:jc w:val="both"/>
            </w:pPr>
            <w:r>
              <w:rPr>
                <w:rFonts w:ascii="Times New Roman"/>
                <w:b w:val="false"/>
                <w:i w:val="false"/>
                <w:color w:val="000000"/>
                <w:sz w:val="20"/>
              </w:rPr>
              <w:t>
Exhibitions – выставки, событийный туризм, корпоративные события</w:t>
            </w:r>
          </w:p>
        </w:tc>
      </w:tr>
    </w:tbl>
    <w:bookmarkStart w:name="z522" w:id="490"/>
    <w:p>
      <w:pPr>
        <w:spacing w:after="0"/>
        <w:ind w:left="0"/>
        <w:jc w:val="both"/>
      </w:pPr>
      <w:r>
        <w:rPr>
          <w:rFonts w:ascii="Times New Roman"/>
          <w:b w:val="false"/>
          <w:i w:val="false"/>
          <w:color w:val="000000"/>
          <w:sz w:val="28"/>
        </w:rPr>
        <w:t>
      Список литературы</w:t>
      </w:r>
    </w:p>
    <w:bookmarkEnd w:id="490"/>
    <w:bookmarkStart w:name="z523" w:id="491"/>
    <w:p>
      <w:pPr>
        <w:spacing w:after="0"/>
        <w:ind w:left="0"/>
        <w:jc w:val="both"/>
      </w:pPr>
      <w:r>
        <w:rPr>
          <w:rFonts w:ascii="Times New Roman"/>
          <w:b w:val="false"/>
          <w:i w:val="false"/>
          <w:color w:val="000000"/>
          <w:sz w:val="28"/>
        </w:rPr>
        <w:t>
      1. Stat.gov.kz (Бюро национальной статистики Агентства по стратегическому планированию и реформам Республики Казахстан).</w:t>
      </w:r>
    </w:p>
    <w:bookmarkEnd w:id="491"/>
    <w:bookmarkStart w:name="z524" w:id="492"/>
    <w:p>
      <w:pPr>
        <w:spacing w:after="0"/>
        <w:ind w:left="0"/>
        <w:jc w:val="both"/>
      </w:pPr>
      <w:r>
        <w:rPr>
          <w:rFonts w:ascii="Times New Roman"/>
          <w:b w:val="false"/>
          <w:i w:val="false"/>
          <w:color w:val="000000"/>
          <w:sz w:val="28"/>
        </w:rPr>
        <w:t>
      2. International Monetary Fund (IMF, https://www.gov.kz/ memleket/entities/ economy/documents/details/516751?lang=ru.</w:t>
      </w:r>
    </w:p>
    <w:bookmarkEnd w:id="492"/>
    <w:bookmarkStart w:name="z525" w:id="493"/>
    <w:p>
      <w:pPr>
        <w:spacing w:after="0"/>
        <w:ind w:left="0"/>
        <w:jc w:val="both"/>
      </w:pPr>
      <w:r>
        <w:rPr>
          <w:rFonts w:ascii="Times New Roman"/>
          <w:b w:val="false"/>
          <w:i w:val="false"/>
          <w:color w:val="000000"/>
          <w:sz w:val="28"/>
        </w:rPr>
        <w:t>
      3. Прогнозная аналитика по рынку офисной недвижимости от "Sqyquest", https://www.skyquestt.com/report/office-real-estate market#:~:text=What%20is%20the%20global%20market,period%20 (2023%2D2030).</w:t>
      </w:r>
    </w:p>
    <w:bookmarkEnd w:id="493"/>
    <w:bookmarkStart w:name="z526" w:id="494"/>
    <w:p>
      <w:pPr>
        <w:spacing w:after="0"/>
        <w:ind w:left="0"/>
        <w:jc w:val="both"/>
      </w:pPr>
      <w:r>
        <w:rPr>
          <w:rFonts w:ascii="Times New Roman"/>
          <w:b w:val="false"/>
          <w:i w:val="false"/>
          <w:color w:val="000000"/>
          <w:sz w:val="28"/>
        </w:rPr>
        <w:t>
      4. Годовые отчеты "Hines", "Skanska", "Colliers International", https://df0r3ljp3eagy.cloudfront.net/documents/HGIT-10Q-9.30.23-as-filed.pdf, https://group.skanska.com/490b78/siteassets/investors/reports-publications/interim-reports/2023/q4-2023/skanska-q4-2023-presentation.pdf, https://s202.q4cdn.com/432246625/files/doc_earnings/2023/q4/presentation/Colliers-Q4-2023-Presentation.pdf.</w:t>
      </w:r>
    </w:p>
    <w:bookmarkEnd w:id="494"/>
    <w:bookmarkStart w:name="z527" w:id="495"/>
    <w:p>
      <w:pPr>
        <w:spacing w:after="0"/>
        <w:ind w:left="0"/>
        <w:jc w:val="both"/>
      </w:pPr>
      <w:r>
        <w:rPr>
          <w:rFonts w:ascii="Times New Roman"/>
          <w:b w:val="false"/>
          <w:i w:val="false"/>
          <w:color w:val="000000"/>
          <w:sz w:val="28"/>
        </w:rPr>
        <w:t>
      5. Прогнозная аналитика по рынку конгрессно-выставочной деятельности от "Startview", https://www.stratviewresearch.com/1488/exhibition-market.html.</w:t>
      </w:r>
    </w:p>
    <w:bookmarkEnd w:id="495"/>
    <w:bookmarkStart w:name="z528" w:id="496"/>
    <w:p>
      <w:pPr>
        <w:spacing w:after="0"/>
        <w:ind w:left="0"/>
        <w:jc w:val="both"/>
      </w:pPr>
      <w:r>
        <w:rPr>
          <w:rFonts w:ascii="Times New Roman"/>
          <w:b w:val="false"/>
          <w:i w:val="false"/>
          <w:color w:val="000000"/>
          <w:sz w:val="28"/>
        </w:rPr>
        <w:t>
      6. Statista.com, https://www.statista.com/statistics/436143/gross-domestic-product-gdp-in-kazakhstan.</w:t>
      </w:r>
    </w:p>
    <w:bookmarkEnd w:id="496"/>
    <w:bookmarkStart w:name="z529" w:id="497"/>
    <w:p>
      <w:pPr>
        <w:spacing w:after="0"/>
        <w:ind w:left="0"/>
        <w:jc w:val="both"/>
      </w:pPr>
      <w:r>
        <w:rPr>
          <w:rFonts w:ascii="Times New Roman"/>
          <w:b w:val="false"/>
          <w:i w:val="false"/>
          <w:color w:val="000000"/>
          <w:sz w:val="28"/>
        </w:rPr>
        <w:t>
      7. https://www.gov.kz/memleket/entities/economy/documents/details/516751?lang=ru.</w:t>
      </w:r>
    </w:p>
    <w:bookmarkEnd w:id="497"/>
    <w:bookmarkStart w:name="z530" w:id="498"/>
    <w:p>
      <w:pPr>
        <w:spacing w:after="0"/>
        <w:ind w:left="0"/>
        <w:jc w:val="both"/>
      </w:pPr>
      <w:r>
        <w:rPr>
          <w:rFonts w:ascii="Times New Roman"/>
          <w:b w:val="false"/>
          <w:i w:val="false"/>
          <w:color w:val="000000"/>
          <w:sz w:val="28"/>
        </w:rPr>
        <w:t>
      8. Stat.gov.kz, https://stat.gov.kz/api/iblock/element/6113/file/ru/.</w:t>
      </w:r>
    </w:p>
    <w:bookmarkEnd w:id="498"/>
    <w:bookmarkStart w:name="z531" w:id="499"/>
    <w:p>
      <w:pPr>
        <w:spacing w:after="0"/>
        <w:ind w:left="0"/>
        <w:jc w:val="both"/>
      </w:pPr>
      <w:r>
        <w:rPr>
          <w:rFonts w:ascii="Times New Roman"/>
          <w:b w:val="false"/>
          <w:i w:val="false"/>
          <w:color w:val="000000"/>
          <w:sz w:val="28"/>
        </w:rPr>
        <w:t>
      9. Krisha.kz.</w:t>
      </w:r>
    </w:p>
    <w:bookmarkEnd w:id="499"/>
    <w:bookmarkStart w:name="z532" w:id="500"/>
    <w:p>
      <w:pPr>
        <w:spacing w:after="0"/>
        <w:ind w:left="0"/>
        <w:jc w:val="both"/>
      </w:pPr>
      <w:r>
        <w:rPr>
          <w:rFonts w:ascii="Times New Roman"/>
          <w:b w:val="false"/>
          <w:i w:val="false"/>
          <w:color w:val="000000"/>
          <w:sz w:val="28"/>
        </w:rPr>
        <w:t>
      10. Stat.gov.kz, https://stat.gov.kz/api/iblock/element/6113/file/ru/.</w:t>
      </w:r>
    </w:p>
    <w:bookmarkEnd w:id="500"/>
    <w:bookmarkStart w:name="z533" w:id="501"/>
    <w:p>
      <w:pPr>
        <w:spacing w:after="0"/>
        <w:ind w:left="0"/>
        <w:jc w:val="both"/>
      </w:pPr>
      <w:r>
        <w:rPr>
          <w:rFonts w:ascii="Times New Roman"/>
          <w:b w:val="false"/>
          <w:i w:val="false"/>
          <w:color w:val="000000"/>
          <w:sz w:val="28"/>
        </w:rPr>
        <w:t>
      11. Stat.gov.kz, https://stat.gov.kz/api/iblock/element/76629/file/ru/.</w:t>
      </w:r>
    </w:p>
    <w:bookmarkEnd w:id="501"/>
    <w:bookmarkStart w:name="z534" w:id="502"/>
    <w:p>
      <w:pPr>
        <w:spacing w:after="0"/>
        <w:ind w:left="0"/>
        <w:jc w:val="both"/>
      </w:pPr>
      <w:r>
        <w:rPr>
          <w:rFonts w:ascii="Times New Roman"/>
          <w:b w:val="false"/>
          <w:i w:val="false"/>
          <w:color w:val="000000"/>
          <w:sz w:val="28"/>
        </w:rPr>
        <w:t>
      12. Precedence Research, https://www.precedenceresearch.com/mice-market.</w:t>
      </w:r>
    </w:p>
    <w:bookmarkEnd w:id="502"/>
    <w:bookmarkStart w:name="z535" w:id="503"/>
    <w:p>
      <w:pPr>
        <w:spacing w:after="0"/>
        <w:ind w:left="0"/>
        <w:jc w:val="both"/>
      </w:pPr>
      <w:r>
        <w:rPr>
          <w:rFonts w:ascii="Times New Roman"/>
          <w:b w:val="false"/>
          <w:i w:val="false"/>
          <w:color w:val="000000"/>
          <w:sz w:val="28"/>
        </w:rPr>
        <w:t>
      13. Statista, https://www.statista.com/outlook/tmo/artificial-intelligence/worldwide.</w:t>
      </w:r>
    </w:p>
    <w:bookmarkEnd w:id="503"/>
    <w:bookmarkStart w:name="z536" w:id="504"/>
    <w:p>
      <w:pPr>
        <w:spacing w:after="0"/>
        <w:ind w:left="0"/>
        <w:jc w:val="both"/>
      </w:pPr>
      <w:r>
        <w:rPr>
          <w:rFonts w:ascii="Times New Roman"/>
          <w:b w:val="false"/>
          <w:i w:val="false"/>
          <w:color w:val="000000"/>
          <w:sz w:val="28"/>
        </w:rPr>
        <w:t>
      14. https://www.zakon.kz/pravo/6411699-v-kazakhstane-izmenyat-sistemu-gosudarstvennogo-planirovaniya.html.</w:t>
      </w:r>
    </w:p>
    <w:bookmarkEnd w:id="504"/>
    <w:bookmarkStart w:name="z537" w:id="505"/>
    <w:p>
      <w:pPr>
        <w:spacing w:after="0"/>
        <w:ind w:left="0"/>
        <w:jc w:val="both"/>
      </w:pPr>
      <w:r>
        <w:rPr>
          <w:rFonts w:ascii="Times New Roman"/>
          <w:b w:val="false"/>
          <w:i w:val="false"/>
          <w:color w:val="000000"/>
          <w:sz w:val="28"/>
        </w:rPr>
        <w:t>
      _________________________</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развития</w:t>
            </w:r>
            <w:r>
              <w:br/>
            </w:r>
            <w:r>
              <w:rPr>
                <w:rFonts w:ascii="Times New Roman"/>
                <w:b w:val="false"/>
                <w:i w:val="false"/>
                <w:color w:val="000000"/>
                <w:sz w:val="20"/>
              </w:rPr>
              <w:t xml:space="preserve">акционерного общества </w:t>
            </w:r>
            <w:r>
              <w:br/>
            </w:r>
            <w:r>
              <w:rPr>
                <w:rFonts w:ascii="Times New Roman"/>
                <w:b w:val="false"/>
                <w:i w:val="false"/>
                <w:color w:val="000000"/>
                <w:sz w:val="20"/>
              </w:rPr>
              <w:t xml:space="preserve">"Национальная компания </w:t>
            </w:r>
            <w:r>
              <w:br/>
            </w:r>
            <w:r>
              <w:rPr>
                <w:rFonts w:ascii="Times New Roman"/>
                <w:b w:val="false"/>
                <w:i w:val="false"/>
                <w:color w:val="000000"/>
                <w:sz w:val="20"/>
              </w:rPr>
              <w:t>"QazExpoCongress"</w:t>
            </w:r>
            <w:r>
              <w:br/>
            </w:r>
            <w:r>
              <w:rPr>
                <w:rFonts w:ascii="Times New Roman"/>
                <w:b w:val="false"/>
                <w:i w:val="false"/>
                <w:color w:val="000000"/>
                <w:sz w:val="20"/>
              </w:rPr>
              <w:t>на 2025 – 2034 годы</w:t>
            </w:r>
          </w:p>
        </w:tc>
      </w:tr>
    </w:tbl>
    <w:bookmarkStart w:name="z539" w:id="506"/>
    <w:p>
      <w:pPr>
        <w:spacing w:after="0"/>
        <w:ind w:left="0"/>
        <w:jc w:val="left"/>
      </w:pPr>
    </w:p>
    <w:bookmarkEnd w:id="506"/>
    <w:p>
      <w:pPr>
        <w:spacing w:after="0"/>
        <w:ind w:left="0"/>
        <w:jc w:val="both"/>
      </w:pPr>
      <w:r>
        <w:t>[MISSING IMAGE: ,  ]</w:t>
      </w:r>
    </w:p>
    <w:p>
      <w:pPr>
        <w:spacing w:after="0"/>
        <w:ind w:left="0"/>
        <w:jc w:val="both"/>
      </w:pPr>
      <w:r>
        <w:t>[MISSING IMAGE: ,  ]</w:t>
      </w:r>
    </w:p>
    <w:p>
      <w:pPr>
        <w:spacing w:after="0"/>
        <w:ind w:left="0"/>
        <w:jc w:val="both"/>
      </w:pPr>
      <w:r>
        <w:t>[MISSING IMAGE: ,  ]</w:t>
      </w:r>
    </w:p>
    <w:p>
      <w:pPr>
        <w:spacing w:after="0"/>
        <w:ind w:left="0"/>
        <w:jc w:val="left"/>
      </w:pPr>
      <w:r>
        <w:rPr>
          <w:rFonts w:ascii="Times New Roman"/>
          <w:b/>
          <w:i w:val="false"/>
          <w:color w:val="000000"/>
          <w:sz w:val="28"/>
        </w:rPr>
        <w:t>Стратегическая карта АО "НК "QazЕxpoCongress"</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первого уровня Системы государственного планирования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Системы государственного планирования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третьего уровня Системы государственного планирования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четвертого уровня Системы государственного планирования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АО "НК "QazЕxpoCongress"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 Содействие росту национальной экономики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"Казахстан-2050": новый политический курс состоявшегося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Казахстана до 2029 года (утвержденный Указом Президента Республики Казахстан от 30 июля 2024 года №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07"/>
          <w:p>
            <w:pPr>
              <w:spacing w:after="20"/>
              <w:ind w:left="20"/>
              <w:jc w:val="both"/>
            </w:pPr>
            <w:r>
              <w:rPr>
                <w:rFonts w:ascii="Times New Roman"/>
                <w:b w:val="false"/>
                <w:i w:val="false"/>
                <w:color w:val="000000"/>
                <w:sz w:val="20"/>
              </w:rPr>
              <w:t>
1) ВВП на душу населения, в долларах США, в текущих ценах</w:t>
            </w:r>
          </w:p>
          <w:bookmarkEnd w:id="507"/>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"Казахстан-2050": новый политический курс состоявшегося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Казахстана до 2029 года (утвержденный Указом Президента Республики Казахстан от 30 июля 2024 года №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МТИ РК на 2023 – 2027 годы (утвержденный приказом Заместителя Премьер-Министра – Министра торговли и интеграции Республики Казахстан от 30 декабря 2022 года № 511- НҚ)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08"/>
          <w:p>
            <w:pPr>
              <w:spacing w:after="20"/>
              <w:ind w:left="20"/>
              <w:jc w:val="both"/>
            </w:pPr>
            <w:r>
              <w:rPr>
                <w:rFonts w:ascii="Times New Roman"/>
                <w:b w:val="false"/>
                <w:i w:val="false"/>
                <w:color w:val="000000"/>
                <w:sz w:val="20"/>
              </w:rPr>
              <w:t>
1) Производительность труда</w:t>
            </w:r>
          </w:p>
          <w:bookmarkEnd w:id="508"/>
          <w:bookmarkStart w:name="z542" w:id="509"/>
          <w:p>
            <w:pPr>
              <w:spacing w:after="20"/>
              <w:ind w:left="20"/>
              <w:jc w:val="both"/>
            </w:pPr>
            <w:r>
              <w:rPr>
                <w:rFonts w:ascii="Times New Roman"/>
                <w:b w:val="false"/>
                <w:i w:val="false"/>
                <w:color w:val="000000"/>
                <w:sz w:val="20"/>
              </w:rPr>
              <w:t>
2) Инвестиции в основной капитал</w:t>
            </w:r>
          </w:p>
          <w:bookmarkEnd w:id="509"/>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 Устойчивое развитие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семейной и гендерной политики в Республике Казахстан до 2030 года (утвержденная Указом Президента Республики Казахстан от6 декабря 2016 года №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0"/>
          <w:p>
            <w:pPr>
              <w:spacing w:after="20"/>
              <w:ind w:left="20"/>
              <w:jc w:val="both"/>
            </w:pPr>
            <w:r>
              <w:rPr>
                <w:rFonts w:ascii="Times New Roman"/>
                <w:b w:val="false"/>
                <w:i w:val="false"/>
                <w:color w:val="000000"/>
                <w:sz w:val="20"/>
              </w:rPr>
              <w:t>
1) Увеличение доли женщин на уровне принятия решений</w:t>
            </w:r>
          </w:p>
          <w:bookmarkEnd w:id="510"/>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44" w:id="511"/>
    <w:p>
      <w:pPr>
        <w:spacing w:after="0"/>
        <w:ind w:left="0"/>
        <w:jc w:val="both"/>
      </w:pPr>
      <w:r>
        <w:rPr>
          <w:rFonts w:ascii="Times New Roman"/>
          <w:b w:val="false"/>
          <w:i w:val="false"/>
          <w:color w:val="000000"/>
          <w:sz w:val="28"/>
        </w:rPr>
        <w:t>
      _________________________</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Плану развития </w:t>
            </w:r>
            <w:r>
              <w:br/>
            </w:r>
            <w:r>
              <w:rPr>
                <w:rFonts w:ascii="Times New Roman"/>
                <w:b w:val="false"/>
                <w:i w:val="false"/>
                <w:color w:val="000000"/>
                <w:sz w:val="20"/>
              </w:rPr>
              <w:t>акционерного общества</w:t>
            </w:r>
            <w:r>
              <w:br/>
            </w:r>
            <w:r>
              <w:rPr>
                <w:rFonts w:ascii="Times New Roman"/>
                <w:b w:val="false"/>
                <w:i w:val="false"/>
                <w:color w:val="000000"/>
                <w:sz w:val="20"/>
              </w:rPr>
              <w:t xml:space="preserve">"Национальная компания </w:t>
            </w:r>
            <w:r>
              <w:br/>
            </w:r>
            <w:r>
              <w:rPr>
                <w:rFonts w:ascii="Times New Roman"/>
                <w:b w:val="false"/>
                <w:i w:val="false"/>
                <w:color w:val="000000"/>
                <w:sz w:val="20"/>
              </w:rPr>
              <w:t>"QazExpoCongress"</w:t>
            </w:r>
            <w:r>
              <w:br/>
            </w:r>
            <w:r>
              <w:rPr>
                <w:rFonts w:ascii="Times New Roman"/>
                <w:b w:val="false"/>
                <w:i w:val="false"/>
                <w:color w:val="000000"/>
                <w:sz w:val="20"/>
              </w:rPr>
              <w:t>на 2025 – 2034 годы</w:t>
            </w:r>
          </w:p>
        </w:tc>
      </w:tr>
    </w:tbl>
    <w:bookmarkStart w:name="z546" w:id="512"/>
    <w:p>
      <w:pPr>
        <w:spacing w:after="0"/>
        <w:ind w:left="0"/>
        <w:jc w:val="left"/>
      </w:pPr>
      <w:r>
        <w:rPr>
          <w:rFonts w:ascii="Times New Roman"/>
          <w:b/>
          <w:i w:val="false"/>
          <w:color w:val="000000"/>
        </w:rPr>
        <w:t xml:space="preserve"> Стратегические направления деятельности, цели, ключевые показатели деятельности и ожидаемые результаты по ним</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росту национальной экономики</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достижения национальных индикаторов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ВВП на душу населения в текущих ценах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в текущих ценах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 США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инвестиций в основной капитал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производительности труда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тенге/чел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деятельностью Общества</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доходности Общества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международных выставках EXPO</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деловых и культурных мероприятий, проводимых на международных выставках EXPO</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мероприятий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3"/>
          <w:p>
            <w:pPr>
              <w:spacing w:after="20"/>
              <w:ind w:left="20"/>
              <w:jc w:val="both"/>
            </w:pPr>
            <w:r>
              <w:rPr>
                <w:rFonts w:ascii="Times New Roman"/>
                <w:b w:val="false"/>
                <w:i w:val="false"/>
                <w:color w:val="000000"/>
                <w:sz w:val="20"/>
              </w:rPr>
              <w:t>
50*</w:t>
            </w:r>
          </w:p>
          <w:bookmarkEnd w:id="513"/>
          <w:p>
            <w:pPr>
              <w:spacing w:after="20"/>
              <w:ind w:left="20"/>
              <w:jc w:val="both"/>
            </w:pPr>
            <w:r>
              <w:rPr>
                <w:rFonts w:ascii="Times New Roman"/>
                <w:b w:val="false"/>
                <w:i w:val="false"/>
                <w:color w:val="000000"/>
                <w:sz w:val="20"/>
              </w:rPr>
              <w:t>
(*2021 – 2022 годах)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площадками для КВМ, объектами и имуществом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от проведения КВМ, сдачи коммерческой недвижимости в аренду, включая коммерциализацию сервисных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MICE-туризма (гостиницы "Hilton", МВЦ "EXPO" и КЦ)</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MICE-мероприятий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мероприятий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операционной безубыточности Общества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финансовой устойчивости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14"/>
          <w:p>
            <w:pPr>
              <w:spacing w:after="20"/>
              <w:ind w:left="20"/>
              <w:jc w:val="both"/>
            </w:pPr>
            <w:r>
              <w:rPr>
                <w:rFonts w:ascii="Times New Roman"/>
                <w:b w:val="false"/>
                <w:i w:val="false"/>
                <w:color w:val="000000"/>
                <w:sz w:val="20"/>
              </w:rPr>
              <w:t>
EBITDA</w:t>
            </w:r>
          </w:p>
          <w:bookmarkEnd w:id="514"/>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развитие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стандартов социальной ответственности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гендерного равенства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женщин на уровне принятия решений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15"/>
          <w:p>
            <w:pPr>
              <w:spacing w:after="20"/>
              <w:ind w:left="20"/>
              <w:jc w:val="both"/>
            </w:pPr>
            <w:r>
              <w:rPr>
                <w:rFonts w:ascii="Times New Roman"/>
                <w:b w:val="false"/>
                <w:i w:val="false"/>
                <w:color w:val="000000"/>
                <w:sz w:val="20"/>
              </w:rPr>
              <w:t>
Правление-11</w:t>
            </w:r>
          </w:p>
          <w:bookmarkEnd w:id="515"/>
          <w:bookmarkStart w:name="z550" w:id="516"/>
          <w:p>
            <w:pPr>
              <w:spacing w:after="20"/>
              <w:ind w:left="20"/>
              <w:jc w:val="both"/>
            </w:pPr>
            <w:r>
              <w:rPr>
                <w:rFonts w:ascii="Times New Roman"/>
                <w:b w:val="false"/>
                <w:i w:val="false"/>
                <w:color w:val="000000"/>
                <w:sz w:val="20"/>
              </w:rPr>
              <w:t>
СД-13,5</w:t>
            </w:r>
          </w:p>
          <w:bookmarkEnd w:id="516"/>
          <w:p>
            <w:pPr>
              <w:spacing w:after="20"/>
              <w:ind w:left="20"/>
              <w:jc w:val="both"/>
            </w:pPr>
            <w:r>
              <w:rPr>
                <w:rFonts w:ascii="Times New Roman"/>
                <w:b w:val="false"/>
                <w:i w:val="false"/>
                <w:color w:val="000000"/>
                <w:sz w:val="20"/>
              </w:rPr>
              <w:t>
СП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17"/>
          <w:p>
            <w:pPr>
              <w:spacing w:after="20"/>
              <w:ind w:left="20"/>
              <w:jc w:val="both"/>
            </w:pPr>
            <w:r>
              <w:rPr>
                <w:rFonts w:ascii="Times New Roman"/>
                <w:b w:val="false"/>
                <w:i w:val="false"/>
                <w:color w:val="000000"/>
                <w:sz w:val="20"/>
              </w:rPr>
              <w:t>
Правление-17</w:t>
            </w:r>
          </w:p>
          <w:bookmarkEnd w:id="517"/>
          <w:bookmarkStart w:name="z552" w:id="518"/>
          <w:p>
            <w:pPr>
              <w:spacing w:after="20"/>
              <w:ind w:left="20"/>
              <w:jc w:val="both"/>
            </w:pPr>
            <w:r>
              <w:rPr>
                <w:rFonts w:ascii="Times New Roman"/>
                <w:b w:val="false"/>
                <w:i w:val="false"/>
                <w:color w:val="000000"/>
                <w:sz w:val="20"/>
              </w:rPr>
              <w:t>
СД-25</w:t>
            </w:r>
          </w:p>
          <w:bookmarkEnd w:id="518"/>
          <w:p>
            <w:pPr>
              <w:spacing w:after="20"/>
              <w:ind w:left="20"/>
              <w:jc w:val="both"/>
            </w:pPr>
            <w:r>
              <w:rPr>
                <w:rFonts w:ascii="Times New Roman"/>
                <w:b w:val="false"/>
                <w:i w:val="false"/>
                <w:color w:val="000000"/>
                <w:sz w:val="20"/>
              </w:rPr>
              <w:t>
СП-30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корпоративного управления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 соблюдение принципов ESG</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корпоративного управления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19"/>
          <w:p>
            <w:pPr>
              <w:spacing w:after="20"/>
              <w:ind w:left="20"/>
              <w:jc w:val="both"/>
            </w:pPr>
            <w:r>
              <w:rPr>
                <w:rFonts w:ascii="Times New Roman"/>
                <w:b w:val="false"/>
                <w:i w:val="false"/>
                <w:color w:val="000000"/>
                <w:sz w:val="20"/>
              </w:rPr>
              <w:t>
84*</w:t>
            </w:r>
          </w:p>
          <w:bookmarkEnd w:id="519"/>
          <w:p>
            <w:pPr>
              <w:spacing w:after="20"/>
              <w:ind w:left="20"/>
              <w:jc w:val="both"/>
            </w:pPr>
            <w:r>
              <w:rPr>
                <w:rFonts w:ascii="Times New Roman"/>
                <w:b w:val="false"/>
                <w:i w:val="false"/>
                <w:color w:val="000000"/>
                <w:sz w:val="20"/>
              </w:rPr>
              <w:t>
(*в 2022 году)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экологическим воздействием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потребления ресурсов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потребления электрической энергии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активов и цифровизация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водосберегающего оборудования</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54" w:id="520"/>
    <w:p>
      <w:pPr>
        <w:spacing w:after="0"/>
        <w:ind w:left="0"/>
        <w:jc w:val="both"/>
      </w:pPr>
      <w:r>
        <w:rPr>
          <w:rFonts w:ascii="Times New Roman"/>
          <w:b w:val="false"/>
          <w:i w:val="false"/>
          <w:color w:val="000000"/>
          <w:sz w:val="28"/>
        </w:rPr>
        <w:t>
      __________________________</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Плану развития </w:t>
            </w:r>
            <w:r>
              <w:br/>
            </w:r>
            <w:r>
              <w:rPr>
                <w:rFonts w:ascii="Times New Roman"/>
                <w:b w:val="false"/>
                <w:i w:val="false"/>
                <w:color w:val="000000"/>
                <w:sz w:val="20"/>
              </w:rPr>
              <w:t>акционерного общества</w:t>
            </w:r>
            <w:r>
              <w:br/>
            </w:r>
            <w:r>
              <w:rPr>
                <w:rFonts w:ascii="Times New Roman"/>
                <w:b w:val="false"/>
                <w:i w:val="false"/>
                <w:color w:val="000000"/>
                <w:sz w:val="20"/>
              </w:rPr>
              <w:t>"Национальная компания</w:t>
            </w:r>
            <w:r>
              <w:br/>
            </w:r>
            <w:r>
              <w:rPr>
                <w:rFonts w:ascii="Times New Roman"/>
                <w:b w:val="false"/>
                <w:i w:val="false"/>
                <w:color w:val="000000"/>
                <w:sz w:val="20"/>
              </w:rPr>
              <w:t>"QazExpoCongress"</w:t>
            </w:r>
            <w:r>
              <w:br/>
            </w:r>
            <w:r>
              <w:rPr>
                <w:rFonts w:ascii="Times New Roman"/>
                <w:b w:val="false"/>
                <w:i w:val="false"/>
                <w:color w:val="000000"/>
                <w:sz w:val="20"/>
              </w:rPr>
              <w:t>на 2025 – 2034 годы</w:t>
            </w:r>
          </w:p>
        </w:tc>
      </w:tr>
    </w:tbl>
    <w:bookmarkStart w:name="z556" w:id="521"/>
    <w:p>
      <w:pPr>
        <w:spacing w:after="0"/>
        <w:ind w:left="0"/>
        <w:jc w:val="left"/>
      </w:pPr>
      <w:r>
        <w:rPr>
          <w:rFonts w:ascii="Times New Roman"/>
          <w:b/>
          <w:i w:val="false"/>
          <w:color w:val="000000"/>
        </w:rPr>
        <w:t xml:space="preserve"> Миссия, видение, стратегические направления деятельности, цели, задачи, ключевые показатели деятельности</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положительного имиджа Республики Казахстан и содействие торгово-экономическим связям на мировых выставочных объектах EXPO, а также предоставление экологичных, комфортных и безопасных помещений, павильонов и конгрессно-выставочных площадок для развития бизнеса и делового туризма в Казахстане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2034 году АО "НК "QazExpoCongress" определяет себя как конкурентную и финансово устойчивую компанию, содействующую международной экономической интеграции, а также предоставляющую необходимую инфраструктуру и услуги на государственном и международном уровнях для развития MICE-туризма. Территория Делового центра EXPO станет престижным местом для ведения бизнеса, экологичным и безопасным для проведения досуга жителей и гостей столицы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Содействие росту национальной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Эффективное управление деятельностью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Устойчивое развитие Общества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1.Обеспечение достижения национальных индикаторов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2"/>
          <w:p>
            <w:pPr>
              <w:spacing w:after="20"/>
              <w:ind w:left="20"/>
              <w:jc w:val="both"/>
            </w:pPr>
            <w:r>
              <w:rPr>
                <w:rFonts w:ascii="Times New Roman"/>
                <w:b w:val="false"/>
                <w:i w:val="false"/>
                <w:color w:val="000000"/>
                <w:sz w:val="20"/>
              </w:rPr>
              <w:t>
1. Повышение доходности Общества.</w:t>
            </w:r>
          </w:p>
          <w:bookmarkEnd w:id="522"/>
          <w:p>
            <w:pPr>
              <w:spacing w:after="20"/>
              <w:ind w:left="20"/>
              <w:jc w:val="both"/>
            </w:pPr>
            <w:r>
              <w:rPr>
                <w:rFonts w:ascii="Times New Roman"/>
                <w:b w:val="false"/>
                <w:i w:val="false"/>
                <w:color w:val="000000"/>
                <w:sz w:val="20"/>
              </w:rPr>
              <w:t>
2. Обеспечение операционной безубыточности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3"/>
          <w:p>
            <w:pPr>
              <w:spacing w:after="20"/>
              <w:ind w:left="20"/>
              <w:jc w:val="both"/>
            </w:pPr>
            <w:r>
              <w:rPr>
                <w:rFonts w:ascii="Times New Roman"/>
                <w:b w:val="false"/>
                <w:i w:val="false"/>
                <w:color w:val="000000"/>
                <w:sz w:val="20"/>
              </w:rPr>
              <w:t>
1. Повышение стандартов социальной ответственности.</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2. Совершенствование системы корпоративного управления.</w:t>
            </w:r>
          </w:p>
          <w:p>
            <w:pPr>
              <w:spacing w:after="20"/>
              <w:ind w:left="20"/>
              <w:jc w:val="both"/>
            </w:pPr>
            <w:r>
              <w:rPr>
                <w:rFonts w:ascii="Times New Roman"/>
                <w:b w:val="false"/>
                <w:i w:val="false"/>
                <w:color w:val="000000"/>
                <w:sz w:val="20"/>
              </w:rPr>
              <w:t>
3. Управление экологическим воздействием.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24"/>
          <w:p>
            <w:pPr>
              <w:spacing w:after="20"/>
              <w:ind w:left="20"/>
              <w:jc w:val="both"/>
            </w:pPr>
            <w:r>
              <w:rPr>
                <w:rFonts w:ascii="Times New Roman"/>
                <w:b w:val="false"/>
                <w:i w:val="false"/>
                <w:color w:val="000000"/>
                <w:sz w:val="20"/>
              </w:rPr>
              <w:t>
1.Увеличение ВВП на душу населения в текущих ценах.</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2.Привлечение инвестиций в основной капитал.</w:t>
            </w:r>
          </w:p>
          <w:p>
            <w:pPr>
              <w:spacing w:after="20"/>
              <w:ind w:left="20"/>
              <w:jc w:val="both"/>
            </w:pPr>
            <w:r>
              <w:rPr>
                <w:rFonts w:ascii="Times New Roman"/>
                <w:b w:val="false"/>
                <w:i w:val="false"/>
                <w:color w:val="000000"/>
                <w:sz w:val="20"/>
              </w:rPr>
              <w:t>
3.Увеличение производительности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25"/>
          <w:p>
            <w:pPr>
              <w:spacing w:after="20"/>
              <w:ind w:left="20"/>
              <w:jc w:val="both"/>
            </w:pPr>
            <w:r>
              <w:rPr>
                <w:rFonts w:ascii="Times New Roman"/>
                <w:b w:val="false"/>
                <w:i w:val="false"/>
                <w:color w:val="000000"/>
                <w:sz w:val="20"/>
              </w:rPr>
              <w:t>
1.Участие в международных выставках EXPO.</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2.Управление площадками для КВМ, объектами и имуществом.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3.Развитие объектов MICE-туризма (гостиницы "Hilton", МВЦ "EXPO" и КЦ).</w:t>
            </w:r>
          </w:p>
          <w:p>
            <w:pPr>
              <w:spacing w:after="20"/>
              <w:ind w:left="20"/>
              <w:jc w:val="both"/>
            </w:pPr>
            <w:r>
              <w:rPr>
                <w:rFonts w:ascii="Times New Roman"/>
                <w:b w:val="false"/>
                <w:i w:val="false"/>
                <w:color w:val="000000"/>
                <w:sz w:val="20"/>
              </w:rPr>
              <w:t>
4.Обеспечение финансовой устойчивости.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26"/>
          <w:p>
            <w:pPr>
              <w:spacing w:after="20"/>
              <w:ind w:left="20"/>
              <w:jc w:val="both"/>
            </w:pPr>
            <w:r>
              <w:rPr>
                <w:rFonts w:ascii="Times New Roman"/>
                <w:b w:val="false"/>
                <w:i w:val="false"/>
                <w:color w:val="000000"/>
                <w:sz w:val="20"/>
              </w:rPr>
              <w:t>
1. Обеспечение гендерного равенства.</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2. Внедрение и соблюдение принципов ESG.</w:t>
            </w:r>
          </w:p>
          <w:p>
            <w:pPr>
              <w:spacing w:after="20"/>
              <w:ind w:left="20"/>
              <w:jc w:val="both"/>
            </w:pPr>
            <w:r>
              <w:rPr>
                <w:rFonts w:ascii="Times New Roman"/>
                <w:b w:val="false"/>
                <w:i w:val="false"/>
                <w:color w:val="000000"/>
                <w:sz w:val="20"/>
              </w:rPr>
              <w:t>
</w:t>
            </w:r>
            <w:r>
              <w:rPr>
                <w:rFonts w:ascii="Times New Roman"/>
                <w:b w:val="false"/>
                <w:i w:val="false"/>
                <w:color w:val="000000"/>
                <w:sz w:val="20"/>
              </w:rPr>
              <w:t>3.Повышение эффективности потребления ресурсов.</w:t>
            </w:r>
          </w:p>
          <w:p>
            <w:pPr>
              <w:spacing w:after="20"/>
              <w:ind w:left="20"/>
              <w:jc w:val="both"/>
            </w:pPr>
            <w:r>
              <w:rPr>
                <w:rFonts w:ascii="Times New Roman"/>
                <w:b w:val="false"/>
                <w:i w:val="false"/>
                <w:color w:val="000000"/>
                <w:sz w:val="20"/>
              </w:rPr>
              <w:t>
4. Модернизация активов и цифровизация.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27"/>
          <w:p>
            <w:pPr>
              <w:spacing w:after="20"/>
              <w:ind w:left="20"/>
              <w:jc w:val="both"/>
            </w:pPr>
            <w:r>
              <w:rPr>
                <w:rFonts w:ascii="Times New Roman"/>
                <w:b w:val="false"/>
                <w:i w:val="false"/>
                <w:color w:val="000000"/>
                <w:sz w:val="20"/>
              </w:rPr>
              <w:t>
1.ВВП на душу населения в текущих ценах.</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2.Инвестиции в основной капитал.</w:t>
            </w:r>
          </w:p>
          <w:p>
            <w:pPr>
              <w:spacing w:after="20"/>
              <w:ind w:left="20"/>
              <w:jc w:val="both"/>
            </w:pPr>
            <w:r>
              <w:rPr>
                <w:rFonts w:ascii="Times New Roman"/>
                <w:b w:val="false"/>
                <w:i w:val="false"/>
                <w:color w:val="000000"/>
                <w:sz w:val="20"/>
              </w:rPr>
              <w:t>
3.Производительность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28"/>
          <w:p>
            <w:pPr>
              <w:spacing w:after="20"/>
              <w:ind w:left="20"/>
              <w:jc w:val="both"/>
            </w:pPr>
            <w:r>
              <w:rPr>
                <w:rFonts w:ascii="Times New Roman"/>
                <w:b w:val="false"/>
                <w:i w:val="false"/>
                <w:color w:val="000000"/>
                <w:sz w:val="20"/>
              </w:rPr>
              <w:t>
1. Число деловых и культурных мероприятий, проводимых на международных выставках EXPO.</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2. Выручка от проведения КВМ, сдачи коммерческой недвижимости в аренду, включая коммерциализацию сервисных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MICE-мероприятий.</w:t>
            </w:r>
          </w:p>
          <w:p>
            <w:pPr>
              <w:spacing w:after="20"/>
              <w:ind w:left="20"/>
              <w:jc w:val="both"/>
            </w:pPr>
            <w:r>
              <w:rPr>
                <w:rFonts w:ascii="Times New Roman"/>
                <w:b w:val="false"/>
                <w:i w:val="false"/>
                <w:color w:val="000000"/>
                <w:sz w:val="20"/>
              </w:rPr>
              <w:t>
4. EBITDA.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29"/>
          <w:p>
            <w:pPr>
              <w:spacing w:after="20"/>
              <w:ind w:left="20"/>
              <w:jc w:val="both"/>
            </w:pPr>
            <w:r>
              <w:rPr>
                <w:rFonts w:ascii="Times New Roman"/>
                <w:b w:val="false"/>
                <w:i w:val="false"/>
                <w:color w:val="000000"/>
                <w:sz w:val="20"/>
              </w:rPr>
              <w:t>
1. Увеличение доли женщин на уровне принятия решений.</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2. Диагностика корпоративного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Оптимизация потребления электрической энергии.</w:t>
            </w:r>
          </w:p>
          <w:p>
            <w:pPr>
              <w:spacing w:after="20"/>
              <w:ind w:left="20"/>
              <w:jc w:val="both"/>
            </w:pPr>
            <w:r>
              <w:rPr>
                <w:rFonts w:ascii="Times New Roman"/>
                <w:b w:val="false"/>
                <w:i w:val="false"/>
                <w:color w:val="000000"/>
                <w:sz w:val="20"/>
              </w:rPr>
              <w:t>
4. Внедрение водосберегающего оборудования.</w:t>
            </w:r>
          </w:p>
        </w:tc>
      </w:tr>
    </w:tbl>
    <w:bookmarkStart w:name="z576" w:id="530"/>
    <w:p>
      <w:pPr>
        <w:spacing w:after="0"/>
        <w:ind w:left="0"/>
        <w:jc w:val="both"/>
      </w:pPr>
      <w:r>
        <w:rPr>
          <w:rFonts w:ascii="Times New Roman"/>
          <w:b w:val="false"/>
          <w:i w:val="false"/>
          <w:color w:val="000000"/>
          <w:sz w:val="28"/>
        </w:rPr>
        <w:t>
      _________________________</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Плану развития </w:t>
            </w:r>
            <w:r>
              <w:br/>
            </w:r>
            <w:r>
              <w:rPr>
                <w:rFonts w:ascii="Times New Roman"/>
                <w:b w:val="false"/>
                <w:i w:val="false"/>
                <w:color w:val="000000"/>
                <w:sz w:val="20"/>
              </w:rPr>
              <w:t>акционерного общества</w:t>
            </w:r>
            <w:r>
              <w:br/>
            </w:r>
            <w:r>
              <w:rPr>
                <w:rFonts w:ascii="Times New Roman"/>
                <w:b w:val="false"/>
                <w:i w:val="false"/>
                <w:color w:val="000000"/>
                <w:sz w:val="20"/>
              </w:rPr>
              <w:t>"Национальная компания</w:t>
            </w:r>
            <w:r>
              <w:br/>
            </w:r>
            <w:r>
              <w:rPr>
                <w:rFonts w:ascii="Times New Roman"/>
                <w:b w:val="false"/>
                <w:i w:val="false"/>
                <w:color w:val="000000"/>
                <w:sz w:val="20"/>
              </w:rPr>
              <w:t>"QazExpoCongress"</w:t>
            </w:r>
            <w:r>
              <w:br/>
            </w:r>
            <w:r>
              <w:rPr>
                <w:rFonts w:ascii="Times New Roman"/>
                <w:b w:val="false"/>
                <w:i w:val="false"/>
                <w:color w:val="000000"/>
                <w:sz w:val="20"/>
              </w:rPr>
              <w:t>на 2025 – 2034 годы</w:t>
            </w:r>
          </w:p>
        </w:tc>
      </w:tr>
    </w:tbl>
    <w:bookmarkStart w:name="z578" w:id="531"/>
    <w:p>
      <w:pPr>
        <w:spacing w:after="0"/>
        <w:ind w:left="0"/>
        <w:jc w:val="left"/>
      </w:pPr>
      <w:r>
        <w:rPr>
          <w:rFonts w:ascii="Times New Roman"/>
          <w:b/>
          <w:i w:val="false"/>
          <w:color w:val="000000"/>
        </w:rPr>
        <w:t xml:space="preserve"> Методика расчета КПД</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расчета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на 2034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в текущих ценах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32"/>
          <w:p>
            <w:pPr>
              <w:spacing w:after="20"/>
              <w:ind w:left="20"/>
              <w:jc w:val="both"/>
            </w:pPr>
            <w:r>
              <w:rPr>
                <w:rFonts w:ascii="Times New Roman"/>
                <w:b w:val="false"/>
                <w:i w:val="false"/>
                <w:color w:val="000000"/>
                <w:sz w:val="20"/>
              </w:rPr>
              <w:t>
долл.</w:t>
            </w:r>
          </w:p>
          <w:bookmarkEnd w:id="532"/>
          <w:p>
            <w:pPr>
              <w:spacing w:after="20"/>
              <w:ind w:left="20"/>
              <w:jc w:val="both"/>
            </w:pPr>
            <w:r>
              <w:rPr>
                <w:rFonts w:ascii="Times New Roman"/>
                <w:b w:val="false"/>
                <w:i w:val="false"/>
                <w:color w:val="000000"/>
                <w:sz w:val="20"/>
              </w:rPr>
              <w:t>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33"/>
          <w:p>
            <w:pPr>
              <w:spacing w:after="20"/>
              <w:ind w:left="20"/>
              <w:jc w:val="both"/>
            </w:pPr>
            <w:r>
              <w:rPr>
                <w:rFonts w:ascii="Times New Roman"/>
                <w:b w:val="false"/>
                <w:i w:val="false"/>
                <w:color w:val="000000"/>
                <w:sz w:val="20"/>
              </w:rPr>
              <w:t>
ВВП = I /P/R, где:</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I - доходы Общества (тыс.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P - численность населения РК (тыс. чел.);</w:t>
            </w:r>
          </w:p>
          <w:p>
            <w:pPr>
              <w:spacing w:after="20"/>
              <w:ind w:left="20"/>
              <w:jc w:val="both"/>
            </w:pPr>
            <w:r>
              <w:rPr>
                <w:rFonts w:ascii="Times New Roman"/>
                <w:b w:val="false"/>
                <w:i w:val="false"/>
                <w:color w:val="000000"/>
                <w:sz w:val="20"/>
              </w:rPr>
              <w:t>
R - среднегодовой курс доллара США (тенге за 1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аудированные данные отдельной финансовой отчетности за отчетный финансовый год, официальные статистические данные по численности населения в РК, данные курса валют Национального банка РК.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 совокупность затрат, направленных на строительство,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оборудования, транспортных средств, производственного и хозяйственного инвентаря и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34"/>
          <w:p>
            <w:pPr>
              <w:spacing w:after="20"/>
              <w:ind w:left="20"/>
              <w:jc w:val="both"/>
            </w:pPr>
            <w:r>
              <w:rPr>
                <w:rFonts w:ascii="Times New Roman"/>
                <w:b w:val="false"/>
                <w:i w:val="false"/>
                <w:color w:val="000000"/>
                <w:sz w:val="20"/>
              </w:rPr>
              <w:t xml:space="preserve">
официальные статистические данные (1-Инвест), представляемые Обществом в органы общегосударственной статистической отчетности (форма 2 - Инвестиции в основной капитал) </w:t>
            </w:r>
          </w:p>
          <w:bookmarkEnd w:id="534"/>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35"/>
          <w:p>
            <w:pPr>
              <w:spacing w:after="20"/>
              <w:ind w:left="20"/>
              <w:jc w:val="both"/>
            </w:pPr>
            <w:r>
              <w:rPr>
                <w:rFonts w:ascii="Times New Roman"/>
                <w:b w:val="false"/>
                <w:i w:val="false"/>
                <w:color w:val="000000"/>
                <w:sz w:val="20"/>
              </w:rPr>
              <w:t>
"Производительность труда" = (I-M)/T×100 %, где:</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I – доходы;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M – расходы за год по основной деятельности);</w:t>
            </w:r>
          </w:p>
          <w:p>
            <w:pPr>
              <w:spacing w:after="20"/>
              <w:ind w:left="20"/>
              <w:jc w:val="both"/>
            </w:pPr>
            <w:r>
              <w:rPr>
                <w:rFonts w:ascii="Times New Roman"/>
                <w:b w:val="false"/>
                <w:i w:val="false"/>
                <w:color w:val="000000"/>
                <w:sz w:val="20"/>
              </w:rPr>
              <w:t>
T – численность работников, занятых в основном виде деятельности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производительности труда рассчитывается по данным аудированной отдельной финансовой отчетности за отчетный финансовый год, а также численности производственного персонала, указанной в статистической отчетности формы 1-Т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деловых и культурных мероприятий, проводимых на международных выставках EXPO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36"/>
          <w:p>
            <w:pPr>
              <w:spacing w:after="20"/>
              <w:ind w:left="20"/>
              <w:jc w:val="both"/>
            </w:pPr>
            <w:r>
              <w:rPr>
                <w:rFonts w:ascii="Times New Roman"/>
                <w:b w:val="false"/>
                <w:i w:val="false"/>
                <w:color w:val="000000"/>
                <w:sz w:val="20"/>
              </w:rPr>
              <w:t>
КПД=В/С×100 %, где</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В - фактически проведенные мероприятия,</w:t>
            </w:r>
          </w:p>
          <w:p>
            <w:pPr>
              <w:spacing w:after="20"/>
              <w:ind w:left="20"/>
              <w:jc w:val="both"/>
            </w:pPr>
            <w:r>
              <w:rPr>
                <w:rFonts w:ascii="Times New Roman"/>
                <w:b w:val="false"/>
                <w:i w:val="false"/>
                <w:color w:val="000000"/>
                <w:sz w:val="20"/>
              </w:rPr>
              <w:t>
С - планируемые мероприятия, согласно утвержденному календарю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37"/>
          <w:p>
            <w:pPr>
              <w:spacing w:after="20"/>
              <w:ind w:left="20"/>
              <w:jc w:val="both"/>
            </w:pPr>
            <w:r>
              <w:rPr>
                <w:rFonts w:ascii="Times New Roman"/>
                <w:b w:val="false"/>
                <w:i w:val="false"/>
                <w:color w:val="000000"/>
                <w:sz w:val="20"/>
              </w:rPr>
              <w:t>
20</w:t>
            </w:r>
          </w:p>
          <w:bookmarkEnd w:id="53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38"/>
          <w:p>
            <w:pPr>
              <w:spacing w:after="20"/>
              <w:ind w:left="20"/>
              <w:jc w:val="both"/>
            </w:pPr>
            <w:r>
              <w:rPr>
                <w:rFonts w:ascii="Times New Roman"/>
                <w:b w:val="false"/>
                <w:i w:val="false"/>
                <w:color w:val="000000"/>
                <w:sz w:val="20"/>
              </w:rPr>
              <w:t xml:space="preserve">
отчетность по реализованным мероприятиям согласно согласованному с государственными органами и Правительством РК календарю мероприятий </w:t>
            </w:r>
          </w:p>
          <w:bookmarkEnd w:id="538"/>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от проведения КВМ, сдачи коммерческой недвижимости в аренду, включая коммерциализацию сервисных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от проведения КВМ, сдачи коммерческой недвижимости в аренду = аренда офисных площадей+аренда площадей под организацию сферы услуг+ аренда ЦОДа+ Доходы от аренды парковочного пространства+коммерческие сервисы+доходы от размещения рекламы+доходы от деятельности гостиницы+ возмещение коммунальных и эксплуатационных расходов+ возмещение налога на имущество, выручка от сдачи в аренду площадок МВЦ "EXPO", выручка от сдачи в аренду площадок КЦ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решением Правления Общества Концепция по определению арендных ставок и роялти для недвижимости, принадлежащей на праве собственности Обществу, а также отчетные данные о доходах объектов Общества, утвержденные решением Правления тарифы стоимости аренды недвижимого имущества, принадлежащего на праве собственности Обществу (МВЦ "EXPO", КЦ).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MICE-мероприятий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фактически проведенных мероприятий на территории ЕХРО и его объектах согласно приложению № 5 к Плану развития Общества на 2025 – 2034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отчетность о проведенных мероприятиях по каждому объекту согласно приложению № 5 к Плану развития Общества на 2025 – 2034 годы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 прибыль (убыток) до налогообложения + (проценты к уплате +амортизация основных средств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EBITDA рассчитывается по данным аудированной отдельной финансовой отчетности за отчетный финансовый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женщин на уровне принятия решений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39"/>
          <w:p>
            <w:pPr>
              <w:spacing w:after="20"/>
              <w:ind w:left="20"/>
              <w:jc w:val="both"/>
            </w:pPr>
            <w:r>
              <w:rPr>
                <w:rFonts w:ascii="Times New Roman"/>
                <w:b w:val="false"/>
                <w:i w:val="false"/>
                <w:color w:val="000000"/>
                <w:sz w:val="20"/>
              </w:rPr>
              <w:t>
Доля женщин на уровне принятия решений, рассчитывается по следующей формуле:</w:t>
            </w:r>
          </w:p>
          <w:bookmarkEnd w:id="539"/>
          <w:bookmarkStart w:name="z592" w:id="540"/>
          <w:p>
            <w:pPr>
              <w:spacing w:after="20"/>
              <w:ind w:left="20"/>
              <w:jc w:val="both"/>
            </w:pPr>
            <w:r>
              <w:rPr>
                <w:rFonts w:ascii="Times New Roman"/>
                <w:b w:val="false"/>
                <w:i w:val="false"/>
                <w:color w:val="000000"/>
                <w:sz w:val="20"/>
              </w:rPr>
              <w:t>
Wп/сд/сп=Х×100/К, где</w:t>
            </w:r>
          </w:p>
          <w:bookmarkEnd w:id="540"/>
          <w:bookmarkStart w:name="z593" w:id="541"/>
          <w:p>
            <w:pPr>
              <w:spacing w:after="20"/>
              <w:ind w:left="20"/>
              <w:jc w:val="both"/>
            </w:pPr>
            <w:r>
              <w:rPr>
                <w:rFonts w:ascii="Times New Roman"/>
                <w:b w:val="false"/>
                <w:i w:val="false"/>
                <w:color w:val="000000"/>
                <w:sz w:val="20"/>
              </w:rPr>
              <w:t>
Х- количество женщин в Правлении/Совете директоров/структурных подразделениях Общества;</w:t>
            </w:r>
          </w:p>
          <w:bookmarkEnd w:id="541"/>
          <w:p>
            <w:pPr>
              <w:spacing w:after="20"/>
              <w:ind w:left="20"/>
              <w:jc w:val="both"/>
            </w:pPr>
            <w:r>
              <w:rPr>
                <w:rFonts w:ascii="Times New Roman"/>
                <w:b w:val="false"/>
                <w:i w:val="false"/>
                <w:color w:val="000000"/>
                <w:sz w:val="20"/>
              </w:rPr>
              <w:t>
К – общее количество членов Правления/Совета директоров Общества/структурных подразделений.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42"/>
          <w:p>
            <w:pPr>
              <w:spacing w:after="20"/>
              <w:ind w:left="20"/>
              <w:jc w:val="both"/>
            </w:pPr>
            <w:r>
              <w:rPr>
                <w:rFonts w:ascii="Times New Roman"/>
                <w:b w:val="false"/>
                <w:i w:val="false"/>
                <w:color w:val="000000"/>
                <w:sz w:val="20"/>
              </w:rPr>
              <w:t xml:space="preserve">
количество женщин </w:t>
            </w:r>
          </w:p>
          <w:bookmarkEnd w:id="542"/>
          <w:bookmarkStart w:name="z595" w:id="543"/>
          <w:p>
            <w:pPr>
              <w:spacing w:after="20"/>
              <w:ind w:left="20"/>
              <w:jc w:val="both"/>
            </w:pPr>
            <w:r>
              <w:rPr>
                <w:rFonts w:ascii="Times New Roman"/>
                <w:b w:val="false"/>
                <w:i w:val="false"/>
                <w:color w:val="000000"/>
                <w:sz w:val="20"/>
              </w:rPr>
              <w:t>
членов Правления Общества согласно решению Совета директоров, количество женщин членов Совета директоров согласно избранному единственным акционером составу,</w:t>
            </w:r>
          </w:p>
          <w:bookmarkEnd w:id="543"/>
          <w:p>
            <w:pPr>
              <w:spacing w:after="20"/>
              <w:ind w:left="20"/>
              <w:jc w:val="both"/>
            </w:pPr>
            <w:r>
              <w:rPr>
                <w:rFonts w:ascii="Times New Roman"/>
                <w:b w:val="false"/>
                <w:i w:val="false"/>
                <w:color w:val="000000"/>
                <w:sz w:val="20"/>
              </w:rPr>
              <w:t>
количество женщин руководителей структурных подразделений согласно штатному расписанию.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корпоративного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независимая 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итогов независимой оценки системы корпоративного управления, утвержденные Советом директоров Общества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44"/>
          <w:p>
            <w:pPr>
              <w:spacing w:after="20"/>
              <w:ind w:left="20"/>
              <w:jc w:val="both"/>
            </w:pPr>
            <w:r>
              <w:rPr>
                <w:rFonts w:ascii="Times New Roman"/>
                <w:b w:val="false"/>
                <w:i w:val="false"/>
                <w:color w:val="000000"/>
                <w:sz w:val="20"/>
              </w:rPr>
              <w:t>
Оптимизация потребления электрической энергии</w:t>
            </w:r>
          </w:p>
          <w:bookmarkEnd w:id="544"/>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45"/>
          <w:p>
            <w:pPr>
              <w:spacing w:after="20"/>
              <w:ind w:left="20"/>
              <w:jc w:val="both"/>
            </w:pPr>
            <w:r>
              <w:rPr>
                <w:rFonts w:ascii="Times New Roman"/>
                <w:b w:val="false"/>
                <w:i w:val="false"/>
                <w:color w:val="000000"/>
                <w:sz w:val="20"/>
              </w:rPr>
              <w:t>
КПД = начальные расходы – конечные расходы/ начальные расходы × 100 %, где:</w:t>
            </w:r>
          </w:p>
          <w:bookmarkEnd w:id="545"/>
          <w:bookmarkStart w:name="z598" w:id="546"/>
          <w:p>
            <w:pPr>
              <w:spacing w:after="20"/>
              <w:ind w:left="20"/>
              <w:jc w:val="both"/>
            </w:pPr>
            <w:r>
              <w:rPr>
                <w:rFonts w:ascii="Times New Roman"/>
                <w:b w:val="false"/>
                <w:i w:val="false"/>
                <w:color w:val="000000"/>
                <w:sz w:val="20"/>
              </w:rPr>
              <w:t>
"начальные расходы" - общие расходы на ресурсы до внедрения мероприятий.</w:t>
            </w:r>
          </w:p>
          <w:bookmarkEnd w:id="546"/>
          <w:p>
            <w:pPr>
              <w:spacing w:after="20"/>
              <w:ind w:left="20"/>
              <w:jc w:val="both"/>
            </w:pPr>
            <w:r>
              <w:rPr>
                <w:rFonts w:ascii="Times New Roman"/>
                <w:b w:val="false"/>
                <w:i w:val="false"/>
                <w:color w:val="000000"/>
                <w:sz w:val="20"/>
              </w:rPr>
              <w:t>
"конечные расходы" - общие расходы на ресурсы после внедрения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энергоснабжающей 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водосберегающего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47"/>
          <w:p>
            <w:pPr>
              <w:spacing w:after="20"/>
              <w:ind w:left="20"/>
              <w:jc w:val="both"/>
            </w:pPr>
            <w:r>
              <w:rPr>
                <w:rFonts w:ascii="Times New Roman"/>
                <w:b w:val="false"/>
                <w:i w:val="false"/>
                <w:color w:val="000000"/>
                <w:sz w:val="20"/>
              </w:rPr>
              <w:t>
КПД=В/С×100 %, где</w:t>
            </w:r>
          </w:p>
          <w:bookmarkEnd w:id="547"/>
          <w:bookmarkStart w:name="z600" w:id="548"/>
          <w:p>
            <w:pPr>
              <w:spacing w:after="20"/>
              <w:ind w:left="20"/>
              <w:jc w:val="both"/>
            </w:pPr>
            <w:r>
              <w:rPr>
                <w:rFonts w:ascii="Times New Roman"/>
                <w:b w:val="false"/>
                <w:i w:val="false"/>
                <w:color w:val="000000"/>
                <w:sz w:val="20"/>
              </w:rPr>
              <w:t>
В – число фактически установленного водосберегающего оборудования, согласно плану внедрения;</w:t>
            </w:r>
          </w:p>
          <w:bookmarkEnd w:id="548"/>
          <w:p>
            <w:pPr>
              <w:spacing w:after="20"/>
              <w:ind w:left="20"/>
              <w:jc w:val="both"/>
            </w:pPr>
            <w:r>
              <w:rPr>
                <w:rFonts w:ascii="Times New Roman"/>
                <w:b w:val="false"/>
                <w:i w:val="false"/>
                <w:color w:val="000000"/>
                <w:sz w:val="20"/>
              </w:rPr>
              <w:t>
С – число планируемого к установке водосберегающего оборудования, согласно плану внедрения.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реализации плана внедрения водосберегающего оборудования, утвержденного генеральным директором филиала</w:t>
            </w:r>
          </w:p>
        </w:tc>
      </w:tr>
    </w:tbl>
    <w:bookmarkStart w:name="z601" w:id="549"/>
    <w:p>
      <w:pPr>
        <w:spacing w:after="0"/>
        <w:ind w:left="0"/>
        <w:jc w:val="both"/>
      </w:pPr>
      <w:r>
        <w:rPr>
          <w:rFonts w:ascii="Times New Roman"/>
          <w:b w:val="false"/>
          <w:i w:val="false"/>
          <w:color w:val="000000"/>
          <w:sz w:val="28"/>
        </w:rPr>
        <w:t>
      _____________</w:t>
      </w:r>
    </w:p>
    <w:bookmarkEnd w:id="5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Мероприятия "ЕХРО-2030" будут проведены в 2030 году в Эр-Рияде (Саудовская Аравия)</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развития</w:t>
            </w:r>
            <w:r>
              <w:br/>
            </w:r>
            <w:r>
              <w:rPr>
                <w:rFonts w:ascii="Times New Roman"/>
                <w:b w:val="false"/>
                <w:i w:val="false"/>
                <w:color w:val="000000"/>
                <w:sz w:val="20"/>
              </w:rPr>
              <w:t>акционерного общества</w:t>
            </w:r>
            <w:r>
              <w:br/>
            </w:r>
            <w:r>
              <w:rPr>
                <w:rFonts w:ascii="Times New Roman"/>
                <w:b w:val="false"/>
                <w:i w:val="false"/>
                <w:color w:val="000000"/>
                <w:sz w:val="20"/>
              </w:rPr>
              <w:t>"Национальная компания</w:t>
            </w:r>
            <w:r>
              <w:br/>
            </w:r>
            <w:r>
              <w:rPr>
                <w:rFonts w:ascii="Times New Roman"/>
                <w:b w:val="false"/>
                <w:i w:val="false"/>
                <w:color w:val="000000"/>
                <w:sz w:val="20"/>
              </w:rPr>
              <w:t>"QazExpoCongress"</w:t>
            </w:r>
            <w:r>
              <w:br/>
            </w:r>
            <w:r>
              <w:rPr>
                <w:rFonts w:ascii="Times New Roman"/>
                <w:b w:val="false"/>
                <w:i w:val="false"/>
                <w:color w:val="000000"/>
                <w:sz w:val="20"/>
              </w:rPr>
              <w:t>на 2025 – 2034 годы</w:t>
            </w:r>
          </w:p>
        </w:tc>
      </w:tr>
    </w:tbl>
    <w:bookmarkStart w:name="z603" w:id="550"/>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Доходы и расходы текущего (базового) сценария</w:t>
      </w:r>
    </w:p>
    <w:bookmarkEnd w:id="550"/>
    <w:bookmarkStart w:name="z604" w:id="551"/>
    <w:p>
      <w:pPr>
        <w:spacing w:after="0"/>
        <w:ind w:left="0"/>
        <w:jc w:val="both"/>
      </w:pPr>
      <w:r>
        <w:rPr>
          <w:rFonts w:ascii="Times New Roman"/>
          <w:b w:val="false"/>
          <w:i w:val="false"/>
          <w:color w:val="000000"/>
          <w:sz w:val="28"/>
        </w:rPr>
        <w:t xml:space="preserve">
      </w:t>
      </w:r>
    </w:p>
    <w:bookmarkEnd w:id="55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05" w:id="55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Доходы и расходы пессимистичного сценария</w:t>
      </w:r>
    </w:p>
    <w:bookmarkEnd w:id="552"/>
    <w:bookmarkStart w:name="z606" w:id="553"/>
    <w:p>
      <w:pPr>
        <w:spacing w:after="0"/>
        <w:ind w:left="0"/>
        <w:jc w:val="both"/>
      </w:pPr>
      <w:r>
        <w:rPr>
          <w:rFonts w:ascii="Times New Roman"/>
          <w:b w:val="false"/>
          <w:i w:val="false"/>
          <w:color w:val="000000"/>
          <w:sz w:val="28"/>
        </w:rPr>
        <w:t xml:space="preserve">
      </w:t>
      </w:r>
    </w:p>
    <w:bookmarkEnd w:id="55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07" w:id="554"/>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3. Доходы и расходы оптимистичного сценария</w:t>
      </w:r>
    </w:p>
    <w:bookmarkEnd w:id="554"/>
    <w:bookmarkStart w:name="z608" w:id="555"/>
    <w:p>
      <w:pPr>
        <w:spacing w:after="0"/>
        <w:ind w:left="0"/>
        <w:jc w:val="both"/>
      </w:pPr>
      <w:r>
        <w:rPr>
          <w:rFonts w:ascii="Times New Roman"/>
          <w:b w:val="false"/>
          <w:i w:val="false"/>
          <w:color w:val="000000"/>
          <w:sz w:val="28"/>
        </w:rPr>
        <w:t xml:space="preserve">
      </w:t>
      </w:r>
    </w:p>
    <w:bookmarkEnd w:id="55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09" w:id="556"/>
    <w:p>
      <w:pPr>
        <w:spacing w:after="0"/>
        <w:ind w:left="0"/>
        <w:jc w:val="both"/>
      </w:pPr>
      <w:r>
        <w:rPr>
          <w:rFonts w:ascii="Times New Roman"/>
          <w:b w:val="false"/>
          <w:i w:val="false"/>
          <w:color w:val="000000"/>
          <w:sz w:val="28"/>
        </w:rPr>
        <w:t>
      _________________________</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развития</w:t>
            </w:r>
            <w:r>
              <w:br/>
            </w:r>
            <w:r>
              <w:rPr>
                <w:rFonts w:ascii="Times New Roman"/>
                <w:b w:val="false"/>
                <w:i w:val="false"/>
                <w:color w:val="000000"/>
                <w:sz w:val="20"/>
              </w:rPr>
              <w:t>акционерного общества</w:t>
            </w:r>
            <w:r>
              <w:br/>
            </w:r>
            <w:r>
              <w:rPr>
                <w:rFonts w:ascii="Times New Roman"/>
                <w:b w:val="false"/>
                <w:i w:val="false"/>
                <w:color w:val="000000"/>
                <w:sz w:val="20"/>
              </w:rPr>
              <w:t>"Национальная компания</w:t>
            </w:r>
            <w:r>
              <w:br/>
            </w:r>
            <w:r>
              <w:rPr>
                <w:rFonts w:ascii="Times New Roman"/>
                <w:b w:val="false"/>
                <w:i w:val="false"/>
                <w:color w:val="000000"/>
                <w:sz w:val="20"/>
              </w:rPr>
              <w:t>"QazExpoCongress"</w:t>
            </w:r>
            <w:r>
              <w:br/>
            </w:r>
            <w:r>
              <w:rPr>
                <w:rFonts w:ascii="Times New Roman"/>
                <w:b w:val="false"/>
                <w:i w:val="false"/>
                <w:color w:val="000000"/>
                <w:sz w:val="20"/>
              </w:rPr>
              <w:t>на 2025 – 2034 годы</w:t>
            </w:r>
          </w:p>
        </w:tc>
      </w:tr>
    </w:tbl>
    <w:bookmarkStart w:name="z611" w:id="557"/>
    <w:p>
      <w:pPr>
        <w:spacing w:after="0"/>
        <w:ind w:left="0"/>
        <w:jc w:val="left"/>
      </w:pPr>
      <w:r>
        <w:rPr>
          <w:rFonts w:ascii="Times New Roman"/>
          <w:b/>
          <w:i w:val="false"/>
          <w:color w:val="000000"/>
        </w:rPr>
        <w:t xml:space="preserve"> Расчеты и обоснования КПД</w:t>
      </w:r>
    </w:p>
    <w:bookmarkEnd w:id="557"/>
    <w:bookmarkStart w:name="z612" w:id="558"/>
    <w:p>
      <w:pPr>
        <w:spacing w:after="0"/>
        <w:ind w:left="0"/>
        <w:jc w:val="both"/>
      </w:pPr>
      <w:r>
        <w:rPr>
          <w:rFonts w:ascii="Times New Roman"/>
          <w:b w:val="false"/>
          <w:i w:val="false"/>
          <w:color w:val="000000"/>
          <w:sz w:val="28"/>
        </w:rPr>
        <w:t>
      КПД № 1</w:t>
      </w:r>
    </w:p>
    <w:bookmarkEnd w:id="558"/>
    <w:bookmarkStart w:name="z613" w:id="559"/>
    <w:p>
      <w:pPr>
        <w:spacing w:after="0"/>
        <w:ind w:left="0"/>
        <w:jc w:val="both"/>
      </w:pPr>
      <w:r>
        <w:rPr>
          <w:rFonts w:ascii="Times New Roman"/>
          <w:b w:val="false"/>
          <w:i w:val="false"/>
          <w:color w:val="000000"/>
          <w:sz w:val="28"/>
        </w:rPr>
        <w:t>
      Показатель ВВП в долл. США (в текущих ценах)</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2025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2026г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2027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2028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2029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2030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2031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2032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2033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2034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РК, тыс чел.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Общества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11 281 437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12 770 149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15 289 588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16 959 195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17 158 092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18 084 987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19 942 759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19 994 523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курс валюты, долл.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стр.2/стр1/гр.3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60"/>
          <w:p>
            <w:pPr>
              <w:spacing w:after="20"/>
              <w:ind w:left="20"/>
              <w:jc w:val="both"/>
            </w:pPr>
            <w:r>
              <w:rPr>
                <w:rFonts w:ascii="Times New Roman"/>
                <w:b w:val="false"/>
                <w:i w:val="false"/>
                <w:color w:val="000000"/>
                <w:sz w:val="20"/>
              </w:rPr>
              <w:t xml:space="preserve">
ВВП в долл. США </w:t>
            </w:r>
          </w:p>
          <w:bookmarkEnd w:id="560"/>
          <w:p>
            <w:pPr>
              <w:spacing w:after="20"/>
              <w:ind w:left="20"/>
              <w:jc w:val="both"/>
            </w:pPr>
            <w:r>
              <w:rPr>
                <w:rFonts w:ascii="Times New Roman"/>
                <w:b w:val="false"/>
                <w:i w:val="false"/>
                <w:color w:val="000000"/>
                <w:sz w:val="20"/>
              </w:rPr>
              <w:t>
(в текущих ценах)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bl>
    <w:bookmarkStart w:name="z615" w:id="561"/>
    <w:p>
      <w:pPr>
        <w:spacing w:after="0"/>
        <w:ind w:left="0"/>
        <w:jc w:val="both"/>
      </w:pPr>
      <w:r>
        <w:rPr>
          <w:rFonts w:ascii="Times New Roman"/>
          <w:b w:val="false"/>
          <w:i w:val="false"/>
          <w:color w:val="000000"/>
          <w:sz w:val="28"/>
        </w:rPr>
        <w:t>
      КПД № 2</w:t>
      </w:r>
    </w:p>
    <w:bookmarkEnd w:id="561"/>
    <w:bookmarkStart w:name="z616" w:id="562"/>
    <w:p>
      <w:pPr>
        <w:spacing w:after="0"/>
        <w:ind w:left="0"/>
        <w:jc w:val="both"/>
      </w:pPr>
      <w:r>
        <w:rPr>
          <w:rFonts w:ascii="Times New Roman"/>
          <w:b w:val="false"/>
          <w:i w:val="false"/>
          <w:color w:val="000000"/>
          <w:sz w:val="28"/>
        </w:rPr>
        <w:t>
      Показатель инвестиции в основной капитал</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2025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2026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2027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2028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2029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2030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2031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2032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2033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2034 год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3 405 657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3 405 978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административного характера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офисных программных продуктов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доработке внутренних бизнесс-процессов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многофункциональное устройство (МФУ)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для компьютера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производственную сферу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5 389 679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3 328 552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5 351 551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Межсетевого экрана в комплекте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организационной техники (компьютерные комплекты)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IP-телефонов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медиа-фасада (Led экраны)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частотные преобразователи для восстановления системы кондиционирования центра обработки данных в результате аварии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программно-аппаратный комплекс системы видеонаблюдения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стеклопакетов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объектов выставки (с НДС)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автоматизации парковочного пространства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программный комплекс АВС-4/Обновление программного обеспечения АВС-4 + Свидетельство электронное представление ресурсной сметно-нормативной базы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7" w:id="563"/>
    <w:p>
      <w:pPr>
        <w:spacing w:after="0"/>
        <w:ind w:left="0"/>
        <w:jc w:val="both"/>
      </w:pPr>
      <w:r>
        <w:rPr>
          <w:rFonts w:ascii="Times New Roman"/>
          <w:b w:val="false"/>
          <w:i w:val="false"/>
          <w:color w:val="000000"/>
          <w:sz w:val="28"/>
        </w:rPr>
        <w:t>
      КПД № 3</w:t>
      </w:r>
    </w:p>
    <w:bookmarkEnd w:id="563"/>
    <w:bookmarkStart w:name="z618" w:id="564"/>
    <w:p>
      <w:pPr>
        <w:spacing w:after="0"/>
        <w:ind w:left="0"/>
        <w:jc w:val="both"/>
      </w:pPr>
      <w:r>
        <w:rPr>
          <w:rFonts w:ascii="Times New Roman"/>
          <w:b w:val="false"/>
          <w:i w:val="false"/>
          <w:color w:val="000000"/>
          <w:sz w:val="28"/>
        </w:rPr>
        <w:t>
      Показатель производительности труда</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2025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2026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2027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2028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2029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2030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2031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2032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2033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2034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основной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10 408 858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12 764 990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15 284 068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16 953 288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17 151 772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18 021 487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18 077 752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18 285 890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19 934 474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19 985 659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основной деятельности за минусом расходы по АИФ - износ и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8 172 070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9 880 708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10 362 060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10 270 862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11 415 569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11 498 679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11 822 864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13 090 984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 учетом понесенных расходов от основной деятельности, тыс.тенге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2 236 788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3 666 358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6 880 910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6 605 918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6 579 073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6 463 027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6 843 491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6 779 559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занятых в основном виде деятельности предприятия, чел.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млн тенге/чел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619" w:id="565"/>
    <w:p>
      <w:pPr>
        <w:spacing w:after="0"/>
        <w:ind w:left="0"/>
        <w:jc w:val="both"/>
      </w:pPr>
      <w:r>
        <w:rPr>
          <w:rFonts w:ascii="Times New Roman"/>
          <w:b w:val="false"/>
          <w:i w:val="false"/>
          <w:color w:val="000000"/>
          <w:sz w:val="28"/>
        </w:rPr>
        <w:t>
      КПД № 4</w:t>
      </w:r>
    </w:p>
    <w:bookmarkEnd w:id="565"/>
    <w:bookmarkStart w:name="z620" w:id="566"/>
    <w:p>
      <w:pPr>
        <w:spacing w:after="0"/>
        <w:ind w:left="0"/>
        <w:jc w:val="both"/>
      </w:pPr>
      <w:r>
        <w:rPr>
          <w:rFonts w:ascii="Times New Roman"/>
          <w:b w:val="false"/>
          <w:i w:val="false"/>
          <w:color w:val="000000"/>
          <w:sz w:val="28"/>
        </w:rPr>
        <w:t>
      Показатель числа деловых и культурных мероприятий, проводимых на международных выставках EXPO</w:t>
      </w:r>
    </w:p>
    <w:bookmarkEnd w:id="566"/>
    <w:bookmarkStart w:name="z621" w:id="567"/>
    <w:p>
      <w:pPr>
        <w:spacing w:after="0"/>
        <w:ind w:left="0"/>
        <w:jc w:val="both"/>
      </w:pPr>
      <w:r>
        <w:rPr>
          <w:rFonts w:ascii="Times New Roman"/>
          <w:b w:val="false"/>
          <w:i w:val="false"/>
          <w:color w:val="000000"/>
          <w:sz w:val="28"/>
        </w:rPr>
        <w:t xml:space="preserve">
      Предстоящая всемирная выставка ЕХРО-2025 Осака на тему "Designing future society for our lives" - "Создавая общество будущего для нашей жизни" с подтемами "Спасение жизней", "Расширение прав и возможностей" и "Объединение жизней" состоится в период с 13 апреля по 13 октября 2025 года в Японии. Местом проведения выставки был определен искусственный остров Юмешима (г. Осака) общей площадью 155 га. Согласно регистрационному досье Организационного комитета в выставке примут участие 150 стран и 25 международных организаций, прогнозируемое количество посетителей составит 28,2 млн человек. </w:t>
      </w:r>
    </w:p>
    <w:bookmarkEnd w:id="567"/>
    <w:bookmarkStart w:name="z622" w:id="568"/>
    <w:p>
      <w:pPr>
        <w:spacing w:after="0"/>
        <w:ind w:left="0"/>
        <w:jc w:val="both"/>
      </w:pPr>
      <w:r>
        <w:rPr>
          <w:rFonts w:ascii="Times New Roman"/>
          <w:b w:val="false"/>
          <w:i w:val="false"/>
          <w:color w:val="000000"/>
          <w:sz w:val="28"/>
        </w:rPr>
        <w:t xml:space="preserve">
      В свою очередь 5 июня 2021 года Министерство иностранных дел подтвердило участие Казахстана во Всемирной выставке ЕХРО-2025 Осака, 10 июля 2023 года подписан договор участия страны на выставке. В соответствии с поручением Главы государства от 2 марта 2023 года АО "НК "QazExpoCongress" было определено техническим оператором по обеспечению участия страны в предстоящей выставке ЕХРО-2025. </w:t>
      </w:r>
    </w:p>
    <w:bookmarkEnd w:id="568"/>
    <w:bookmarkStart w:name="z623" w:id="569"/>
    <w:p>
      <w:pPr>
        <w:spacing w:after="0"/>
        <w:ind w:left="0"/>
        <w:jc w:val="both"/>
      </w:pPr>
      <w:r>
        <w:rPr>
          <w:rFonts w:ascii="Times New Roman"/>
          <w:b w:val="false"/>
          <w:i w:val="false"/>
          <w:color w:val="000000"/>
          <w:sz w:val="28"/>
        </w:rPr>
        <w:t>
      Постановлением Правительства Республики Казахстан от 3 мая 2023 года № 353 назначен Генеральный комиссар секции на выставке Еркимбаев Д.К. - Первый заместитель Председателя Правления Общества.</w:t>
      </w:r>
    </w:p>
    <w:bookmarkEnd w:id="569"/>
    <w:bookmarkStart w:name="z624" w:id="570"/>
    <w:p>
      <w:pPr>
        <w:spacing w:after="0"/>
        <w:ind w:left="0"/>
        <w:jc w:val="both"/>
      </w:pPr>
      <w:r>
        <w:rPr>
          <w:rFonts w:ascii="Times New Roman"/>
          <w:b w:val="false"/>
          <w:i w:val="false"/>
          <w:color w:val="000000"/>
          <w:sz w:val="28"/>
        </w:rPr>
        <w:t xml:space="preserve">
      В рамках обеспечения участия страны на выставке ЕХРО-2025 Осака были разработаны концептуальный проект, который был утвержден Главой государства в октябре 2023 года, проектный план, согласованный с японской стороной, смета расходов для проведения строительно-монтажных работ и операционной деятельности. </w:t>
      </w:r>
    </w:p>
    <w:bookmarkEnd w:id="570"/>
    <w:bookmarkStart w:name="z625" w:id="571"/>
    <w:p>
      <w:pPr>
        <w:spacing w:after="0"/>
        <w:ind w:left="0"/>
        <w:jc w:val="both"/>
      </w:pPr>
      <w:r>
        <w:rPr>
          <w:rFonts w:ascii="Times New Roman"/>
          <w:b w:val="false"/>
          <w:i w:val="false"/>
          <w:color w:val="000000"/>
          <w:sz w:val="28"/>
        </w:rPr>
        <w:t>
      Вместе с тем согласно поручению Главы Государства по сокращению расходов на участие в ЕХРО-2025 от 16 апреля 2024 года, Обществом был проработан вопрос отказа от самостоятельного строительства павильона типа А и возможности предоставления организатором ЕХРО павильона или помещения в аренду.</w:t>
      </w:r>
    </w:p>
    <w:bookmarkEnd w:id="571"/>
    <w:bookmarkStart w:name="z626" w:id="572"/>
    <w:p>
      <w:pPr>
        <w:spacing w:after="0"/>
        <w:ind w:left="0"/>
        <w:jc w:val="both"/>
      </w:pPr>
      <w:r>
        <w:rPr>
          <w:rFonts w:ascii="Times New Roman"/>
          <w:b w:val="false"/>
          <w:i w:val="false"/>
          <w:color w:val="000000"/>
          <w:sz w:val="28"/>
        </w:rPr>
        <w:t>
      Наряду с этим Японской ассоциацией предложены варианты павильонов типа Х и С.</w:t>
      </w:r>
    </w:p>
    <w:bookmarkEnd w:id="572"/>
    <w:bookmarkStart w:name="z627" w:id="573"/>
    <w:p>
      <w:pPr>
        <w:spacing w:after="0"/>
        <w:ind w:left="0"/>
        <w:jc w:val="both"/>
      </w:pPr>
      <w:r>
        <w:rPr>
          <w:rFonts w:ascii="Times New Roman"/>
          <w:b w:val="false"/>
          <w:i w:val="false"/>
          <w:color w:val="000000"/>
          <w:sz w:val="28"/>
        </w:rPr>
        <w:t>
      Справочно: общая площадь павильона типа "Х" – 291,5 кв.м Общая площадь павильона типа "С" – 75,18 кв.м (из них выставочная площадь 63,15 кв.м и офисное помещение 12,03 кв.м).</w:t>
      </w:r>
    </w:p>
    <w:bookmarkEnd w:id="573"/>
    <w:bookmarkStart w:name="z628" w:id="574"/>
    <w:p>
      <w:pPr>
        <w:spacing w:after="0"/>
        <w:ind w:left="0"/>
        <w:jc w:val="both"/>
      </w:pPr>
      <w:r>
        <w:rPr>
          <w:rFonts w:ascii="Times New Roman"/>
          <w:b w:val="false"/>
          <w:i w:val="false"/>
          <w:color w:val="000000"/>
          <w:sz w:val="28"/>
        </w:rPr>
        <w:t xml:space="preserve">
      При этом Министерством финансов Республики Казахстан предложено участие на выставке в рамках павильона типа "С". Также данной позиции придерживается МТИ РК. </w:t>
      </w:r>
    </w:p>
    <w:bookmarkEnd w:id="574"/>
    <w:bookmarkStart w:name="z629" w:id="575"/>
    <w:p>
      <w:pPr>
        <w:spacing w:after="0"/>
        <w:ind w:left="0"/>
        <w:jc w:val="both"/>
      </w:pPr>
      <w:r>
        <w:rPr>
          <w:rFonts w:ascii="Times New Roman"/>
          <w:b w:val="false"/>
          <w:i w:val="false"/>
          <w:color w:val="000000"/>
          <w:sz w:val="28"/>
        </w:rPr>
        <w:t>
      В связи с этим Обществом ведется перерасчет, требуемых средств в рамках павильона типа "С" для дальнейшего участия Республики Казахстан на выставке согласно поручению Главы государства.</w:t>
      </w:r>
    </w:p>
    <w:bookmarkEnd w:id="575"/>
    <w:bookmarkStart w:name="z630" w:id="576"/>
    <w:p>
      <w:pPr>
        <w:spacing w:after="0"/>
        <w:ind w:left="0"/>
        <w:jc w:val="both"/>
      </w:pPr>
      <w:r>
        <w:rPr>
          <w:rFonts w:ascii="Times New Roman"/>
          <w:b w:val="false"/>
          <w:i w:val="false"/>
          <w:color w:val="000000"/>
          <w:sz w:val="28"/>
        </w:rPr>
        <w:t>
      На основании вышеизложенного, и принимая во внимание площадь павильона типа "С" - 63,15 кв.м, проведение большого количества деловых мероприятий не представляется возможным ввиду отсутствия помещения.</w:t>
      </w:r>
    </w:p>
    <w:bookmarkEnd w:id="576"/>
    <w:bookmarkStart w:name="z631" w:id="577"/>
    <w:p>
      <w:pPr>
        <w:spacing w:after="0"/>
        <w:ind w:left="0"/>
        <w:jc w:val="both"/>
      </w:pPr>
      <w:r>
        <w:rPr>
          <w:rFonts w:ascii="Times New Roman"/>
          <w:b w:val="false"/>
          <w:i w:val="false"/>
          <w:color w:val="000000"/>
          <w:sz w:val="28"/>
        </w:rPr>
        <w:t>
      Предварительный календарь мероприятий национального павильона РК на ЕХРО-2025 Осака (13.04.2025 - 13.10.2025)</w:t>
      </w:r>
    </w:p>
    <w:bookmarkEnd w:id="577"/>
    <w:bookmarkStart w:name="z632" w:id="578"/>
    <w:p>
      <w:pPr>
        <w:spacing w:after="0"/>
        <w:ind w:left="0"/>
        <w:jc w:val="both"/>
      </w:pPr>
      <w:r>
        <w:rPr>
          <w:rFonts w:ascii="Times New Roman"/>
          <w:b w:val="false"/>
          <w:i w:val="false"/>
          <w:color w:val="000000"/>
          <w:sz w:val="28"/>
        </w:rPr>
        <w:t xml:space="preserve">
      1. Церемония открытия выставки </w:t>
      </w:r>
    </w:p>
    <w:bookmarkEnd w:id="578"/>
    <w:bookmarkStart w:name="z633" w:id="579"/>
    <w:p>
      <w:pPr>
        <w:spacing w:after="0"/>
        <w:ind w:left="0"/>
        <w:jc w:val="both"/>
      </w:pPr>
      <w:r>
        <w:rPr>
          <w:rFonts w:ascii="Times New Roman"/>
          <w:b w:val="false"/>
          <w:i w:val="false"/>
          <w:color w:val="000000"/>
          <w:sz w:val="28"/>
        </w:rPr>
        <w:t>
      2. Национальный день РК</w:t>
      </w:r>
    </w:p>
    <w:bookmarkEnd w:id="579"/>
    <w:bookmarkStart w:name="z634" w:id="580"/>
    <w:p>
      <w:pPr>
        <w:spacing w:after="0"/>
        <w:ind w:left="0"/>
        <w:jc w:val="both"/>
      </w:pPr>
      <w:r>
        <w:rPr>
          <w:rFonts w:ascii="Times New Roman"/>
          <w:b w:val="false"/>
          <w:i w:val="false"/>
          <w:color w:val="000000"/>
          <w:sz w:val="28"/>
        </w:rPr>
        <w:t>
      3. Торгово-инвестиционный форум</w:t>
      </w:r>
    </w:p>
    <w:bookmarkEnd w:id="580"/>
    <w:bookmarkStart w:name="z635" w:id="581"/>
    <w:p>
      <w:pPr>
        <w:spacing w:after="0"/>
        <w:ind w:left="0"/>
        <w:jc w:val="both"/>
      </w:pPr>
      <w:r>
        <w:rPr>
          <w:rFonts w:ascii="Times New Roman"/>
          <w:b w:val="false"/>
          <w:i w:val="false"/>
          <w:color w:val="000000"/>
          <w:sz w:val="28"/>
        </w:rPr>
        <w:t>
      4. Церемония закрытия выставки</w:t>
      </w:r>
    </w:p>
    <w:bookmarkEnd w:id="581"/>
    <w:p>
      <w:pPr>
        <w:spacing w:after="0"/>
        <w:ind w:left="0"/>
        <w:jc w:val="both"/>
      </w:pPr>
      <w:bookmarkStart w:name="z636" w:id="582"/>
      <w:r>
        <w:rPr>
          <w:rFonts w:ascii="Times New Roman"/>
          <w:b w:val="false"/>
          <w:i w:val="false"/>
          <w:color w:val="000000"/>
          <w:sz w:val="28"/>
        </w:rPr>
        <w:t>
      Предварительный календарь мероприятий Национального павильона РК на ЕХРО-2030 Эр-Рияд</w:t>
      </w:r>
    </w:p>
    <w:bookmarkEnd w:id="582"/>
    <w:p>
      <w:pPr>
        <w:spacing w:after="0"/>
        <w:ind w:left="0"/>
        <w:jc w:val="both"/>
      </w:pPr>
      <w:r>
        <w:rPr>
          <w:rFonts w:ascii="Times New Roman"/>
          <w:b w:val="false"/>
          <w:i w:val="false"/>
          <w:color w:val="000000"/>
          <w:sz w:val="28"/>
        </w:rPr>
        <w:t>(01.10.2030 год - 31.03.2031 год)</w:t>
      </w:r>
    </w:p>
    <w:bookmarkStart w:name="z637" w:id="583"/>
    <w:p>
      <w:pPr>
        <w:spacing w:after="0"/>
        <w:ind w:left="0"/>
        <w:jc w:val="both"/>
      </w:pPr>
      <w:r>
        <w:rPr>
          <w:rFonts w:ascii="Times New Roman"/>
          <w:b w:val="false"/>
          <w:i w:val="false"/>
          <w:color w:val="000000"/>
          <w:sz w:val="28"/>
        </w:rPr>
        <w:t xml:space="preserve">
      1. Церемония открытия выставки </w:t>
      </w:r>
    </w:p>
    <w:bookmarkEnd w:id="583"/>
    <w:bookmarkStart w:name="z638" w:id="584"/>
    <w:p>
      <w:pPr>
        <w:spacing w:after="0"/>
        <w:ind w:left="0"/>
        <w:jc w:val="both"/>
      </w:pPr>
      <w:r>
        <w:rPr>
          <w:rFonts w:ascii="Times New Roman"/>
          <w:b w:val="false"/>
          <w:i w:val="false"/>
          <w:color w:val="000000"/>
          <w:sz w:val="28"/>
        </w:rPr>
        <w:t>
      2. День единства народа Казахстана</w:t>
      </w:r>
    </w:p>
    <w:bookmarkEnd w:id="584"/>
    <w:bookmarkStart w:name="z639" w:id="585"/>
    <w:p>
      <w:pPr>
        <w:spacing w:after="0"/>
        <w:ind w:left="0"/>
        <w:jc w:val="both"/>
      </w:pPr>
      <w:r>
        <w:rPr>
          <w:rFonts w:ascii="Times New Roman"/>
          <w:b w:val="false"/>
          <w:i w:val="false"/>
          <w:color w:val="000000"/>
          <w:sz w:val="28"/>
        </w:rPr>
        <w:t>
      3. Ассоциация деловых женщин</w:t>
      </w:r>
    </w:p>
    <w:bookmarkEnd w:id="585"/>
    <w:bookmarkStart w:name="z640" w:id="586"/>
    <w:p>
      <w:pPr>
        <w:spacing w:after="0"/>
        <w:ind w:left="0"/>
        <w:jc w:val="both"/>
      </w:pPr>
      <w:r>
        <w:rPr>
          <w:rFonts w:ascii="Times New Roman"/>
          <w:b w:val="false"/>
          <w:i w:val="false"/>
          <w:color w:val="000000"/>
          <w:sz w:val="28"/>
        </w:rPr>
        <w:t>
      4. NU "Knowledge &amp; Learning Week"</w:t>
      </w:r>
    </w:p>
    <w:bookmarkEnd w:id="586"/>
    <w:bookmarkStart w:name="z641" w:id="587"/>
    <w:p>
      <w:pPr>
        <w:spacing w:after="0"/>
        <w:ind w:left="0"/>
        <w:jc w:val="both"/>
      </w:pPr>
      <w:r>
        <w:rPr>
          <w:rFonts w:ascii="Times New Roman"/>
          <w:b w:val="false"/>
          <w:i w:val="false"/>
          <w:color w:val="000000"/>
          <w:sz w:val="28"/>
        </w:rPr>
        <w:t>
      5. День Республики</w:t>
      </w:r>
    </w:p>
    <w:bookmarkEnd w:id="587"/>
    <w:bookmarkStart w:name="z642" w:id="588"/>
    <w:p>
      <w:pPr>
        <w:spacing w:after="0"/>
        <w:ind w:left="0"/>
        <w:jc w:val="both"/>
      </w:pPr>
      <w:r>
        <w:rPr>
          <w:rFonts w:ascii="Times New Roman"/>
          <w:b w:val="false"/>
          <w:i w:val="false"/>
          <w:color w:val="000000"/>
          <w:sz w:val="28"/>
        </w:rPr>
        <w:t>
      6. Национальный день РК</w:t>
      </w:r>
    </w:p>
    <w:bookmarkEnd w:id="588"/>
    <w:bookmarkStart w:name="z643" w:id="589"/>
    <w:p>
      <w:pPr>
        <w:spacing w:after="0"/>
        <w:ind w:left="0"/>
        <w:jc w:val="both"/>
      </w:pPr>
      <w:r>
        <w:rPr>
          <w:rFonts w:ascii="Times New Roman"/>
          <w:b w:val="false"/>
          <w:i w:val="false"/>
          <w:color w:val="000000"/>
          <w:sz w:val="28"/>
        </w:rPr>
        <w:t>
      7. Kazakhstan Tourism Week</w:t>
      </w:r>
    </w:p>
    <w:bookmarkEnd w:id="589"/>
    <w:bookmarkStart w:name="z644" w:id="590"/>
    <w:p>
      <w:pPr>
        <w:spacing w:after="0"/>
        <w:ind w:left="0"/>
        <w:jc w:val="both"/>
      </w:pPr>
      <w:r>
        <w:rPr>
          <w:rFonts w:ascii="Times New Roman"/>
          <w:b w:val="false"/>
          <w:i w:val="false"/>
          <w:color w:val="000000"/>
          <w:sz w:val="28"/>
        </w:rPr>
        <w:t>
      8. Дни города Алматы</w:t>
      </w:r>
    </w:p>
    <w:bookmarkEnd w:id="590"/>
    <w:bookmarkStart w:name="z645" w:id="591"/>
    <w:p>
      <w:pPr>
        <w:spacing w:after="0"/>
        <w:ind w:left="0"/>
        <w:jc w:val="both"/>
      </w:pPr>
      <w:r>
        <w:rPr>
          <w:rFonts w:ascii="Times New Roman"/>
          <w:b w:val="false"/>
          <w:i w:val="false"/>
          <w:color w:val="000000"/>
          <w:sz w:val="28"/>
        </w:rPr>
        <w:t>
      9. Astana Business week</w:t>
      </w:r>
    </w:p>
    <w:bookmarkEnd w:id="591"/>
    <w:bookmarkStart w:name="z646" w:id="592"/>
    <w:p>
      <w:pPr>
        <w:spacing w:after="0"/>
        <w:ind w:left="0"/>
        <w:jc w:val="both"/>
      </w:pPr>
      <w:r>
        <w:rPr>
          <w:rFonts w:ascii="Times New Roman"/>
          <w:b w:val="false"/>
          <w:i w:val="false"/>
          <w:color w:val="000000"/>
          <w:sz w:val="28"/>
        </w:rPr>
        <w:t>
      10. Презентация дня туризма Туркестанской области</w:t>
      </w:r>
    </w:p>
    <w:bookmarkEnd w:id="592"/>
    <w:bookmarkStart w:name="z647" w:id="593"/>
    <w:p>
      <w:pPr>
        <w:spacing w:after="0"/>
        <w:ind w:left="0"/>
        <w:jc w:val="both"/>
      </w:pPr>
      <w:r>
        <w:rPr>
          <w:rFonts w:ascii="Times New Roman"/>
          <w:b w:val="false"/>
          <w:i w:val="false"/>
          <w:color w:val="000000"/>
          <w:sz w:val="28"/>
        </w:rPr>
        <w:t>
      11. Экспозиции РГП "Казахстанский монетный двор" и "Банкнотная фабрика" Национального банка РК, проведение В2В встреч</w:t>
      </w:r>
    </w:p>
    <w:bookmarkEnd w:id="593"/>
    <w:bookmarkStart w:name="z648" w:id="594"/>
    <w:p>
      <w:pPr>
        <w:spacing w:after="0"/>
        <w:ind w:left="0"/>
        <w:jc w:val="both"/>
      </w:pPr>
      <w:r>
        <w:rPr>
          <w:rFonts w:ascii="Times New Roman"/>
          <w:b w:val="false"/>
          <w:i w:val="false"/>
          <w:color w:val="000000"/>
          <w:sz w:val="28"/>
        </w:rPr>
        <w:t>
      12. День Независимости РК</w:t>
      </w:r>
    </w:p>
    <w:bookmarkEnd w:id="594"/>
    <w:bookmarkStart w:name="z649" w:id="595"/>
    <w:p>
      <w:pPr>
        <w:spacing w:after="0"/>
        <w:ind w:left="0"/>
        <w:jc w:val="both"/>
      </w:pPr>
      <w:r>
        <w:rPr>
          <w:rFonts w:ascii="Times New Roman"/>
          <w:b w:val="false"/>
          <w:i w:val="false"/>
          <w:color w:val="000000"/>
          <w:sz w:val="28"/>
        </w:rPr>
        <w:t>
      13. Презентация потенциала города Шымкента</w:t>
      </w:r>
    </w:p>
    <w:bookmarkEnd w:id="595"/>
    <w:bookmarkStart w:name="z650" w:id="596"/>
    <w:p>
      <w:pPr>
        <w:spacing w:after="0"/>
        <w:ind w:left="0"/>
        <w:jc w:val="both"/>
      </w:pPr>
      <w:r>
        <w:rPr>
          <w:rFonts w:ascii="Times New Roman"/>
          <w:b w:val="false"/>
          <w:i w:val="false"/>
          <w:color w:val="000000"/>
          <w:sz w:val="28"/>
        </w:rPr>
        <w:t>
      14. Круглый стол по развитию женского предпринимательства</w:t>
      </w:r>
    </w:p>
    <w:bookmarkEnd w:id="596"/>
    <w:bookmarkStart w:name="z651" w:id="597"/>
    <w:p>
      <w:pPr>
        <w:spacing w:after="0"/>
        <w:ind w:left="0"/>
        <w:jc w:val="both"/>
      </w:pPr>
      <w:r>
        <w:rPr>
          <w:rFonts w:ascii="Times New Roman"/>
          <w:b w:val="false"/>
          <w:i w:val="false"/>
          <w:color w:val="000000"/>
          <w:sz w:val="28"/>
        </w:rPr>
        <w:t>
      15. Презентация "SmartBoard with Climate clock"</w:t>
      </w:r>
    </w:p>
    <w:bookmarkEnd w:id="597"/>
    <w:bookmarkStart w:name="z652" w:id="598"/>
    <w:p>
      <w:pPr>
        <w:spacing w:after="0"/>
        <w:ind w:left="0"/>
        <w:jc w:val="both"/>
      </w:pPr>
      <w:r>
        <w:rPr>
          <w:rFonts w:ascii="Times New Roman"/>
          <w:b w:val="false"/>
          <w:i w:val="false"/>
          <w:color w:val="000000"/>
          <w:sz w:val="28"/>
        </w:rPr>
        <w:t>
      16. Презентация современных мобильных приложений</w:t>
      </w:r>
    </w:p>
    <w:bookmarkEnd w:id="598"/>
    <w:bookmarkStart w:name="z653" w:id="599"/>
    <w:p>
      <w:pPr>
        <w:spacing w:after="0"/>
        <w:ind w:left="0"/>
        <w:jc w:val="both"/>
      </w:pPr>
      <w:r>
        <w:rPr>
          <w:rFonts w:ascii="Times New Roman"/>
          <w:b w:val="false"/>
          <w:i w:val="false"/>
          <w:color w:val="000000"/>
          <w:sz w:val="28"/>
        </w:rPr>
        <w:t>
      17. Наурыз мейрамы</w:t>
      </w:r>
    </w:p>
    <w:bookmarkEnd w:id="599"/>
    <w:bookmarkStart w:name="z654" w:id="600"/>
    <w:p>
      <w:pPr>
        <w:spacing w:after="0"/>
        <w:ind w:left="0"/>
        <w:jc w:val="both"/>
      </w:pPr>
      <w:r>
        <w:rPr>
          <w:rFonts w:ascii="Times New Roman"/>
          <w:b w:val="false"/>
          <w:i w:val="false"/>
          <w:color w:val="000000"/>
          <w:sz w:val="28"/>
        </w:rPr>
        <w:t>
      18. Международный форум "Коучинг в период изменений и инноваций: государство, бизнес и общество"</w:t>
      </w:r>
    </w:p>
    <w:bookmarkEnd w:id="600"/>
    <w:bookmarkStart w:name="z655" w:id="601"/>
    <w:p>
      <w:pPr>
        <w:spacing w:after="0"/>
        <w:ind w:left="0"/>
        <w:jc w:val="both"/>
      </w:pPr>
      <w:r>
        <w:rPr>
          <w:rFonts w:ascii="Times New Roman"/>
          <w:b w:val="false"/>
          <w:i w:val="false"/>
          <w:color w:val="000000"/>
          <w:sz w:val="28"/>
        </w:rPr>
        <w:t>
      19. Международная выставка казахстанских товаропроизводителей</w:t>
      </w:r>
    </w:p>
    <w:bookmarkEnd w:id="601"/>
    <w:bookmarkStart w:name="z656" w:id="602"/>
    <w:p>
      <w:pPr>
        <w:spacing w:after="0"/>
        <w:ind w:left="0"/>
        <w:jc w:val="both"/>
      </w:pPr>
      <w:r>
        <w:rPr>
          <w:rFonts w:ascii="Times New Roman"/>
          <w:b w:val="false"/>
          <w:i w:val="false"/>
          <w:color w:val="000000"/>
          <w:sz w:val="28"/>
        </w:rPr>
        <w:t>
      20. Церемония закрытия выставки</w:t>
      </w:r>
    </w:p>
    <w:bookmarkEnd w:id="602"/>
    <w:bookmarkStart w:name="z657" w:id="603"/>
    <w:p>
      <w:pPr>
        <w:spacing w:after="0"/>
        <w:ind w:left="0"/>
        <w:jc w:val="both"/>
      </w:pPr>
      <w:r>
        <w:rPr>
          <w:rFonts w:ascii="Times New Roman"/>
          <w:b w:val="false"/>
          <w:i w:val="false"/>
          <w:color w:val="000000"/>
          <w:sz w:val="28"/>
        </w:rPr>
        <w:t>
      КПД № 5</w:t>
      </w:r>
    </w:p>
    <w:bookmarkEnd w:id="603"/>
    <w:bookmarkStart w:name="z658" w:id="604"/>
    <w:p>
      <w:pPr>
        <w:spacing w:after="0"/>
        <w:ind w:left="0"/>
        <w:jc w:val="both"/>
      </w:pPr>
      <w:r>
        <w:rPr>
          <w:rFonts w:ascii="Times New Roman"/>
          <w:b w:val="false"/>
          <w:i w:val="false"/>
          <w:color w:val="000000"/>
          <w:sz w:val="28"/>
        </w:rPr>
        <w:t>
      Показатель выручки от проведения КВМ, сдачи коммерческой недвижимости в аренду, включая коммерциализацию сервисных услуг тыс. тенге</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международного выставочного центра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МВЦ "EXPO"</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1 051 490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1 154 979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1 156 089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1 156 089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1 397 713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1 397 713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1 397 713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концертных площадок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сдачи в доверительное управление комплекта светового, звукового и сценического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деятельности оператора по оказанию услуг на территории МВЦ "EXPO"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МВЦ "EXPO"</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 МФА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1 440 619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1 440 619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1 541 462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1 649 365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1 764 820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1 888 358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2 020 543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2 161 981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2 313 319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2 475 252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2 980 923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3 121 342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3 228 904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3 342 599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3 613 747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3 882 039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4 194 757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4 352 917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офисных площадей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7 758 389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10 830 454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13 573 282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15 391 587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15 391 587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18 059 006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18 059 006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площадей под организацию сферы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парковочного пространства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под коммерческие сервисы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рекламы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деятельности гостиницы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гостиница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1 214 443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1 259 777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1 302 475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1 385 039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1 428 188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1 472 632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1 518 407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коммунальных и эксплуатационных расходов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возмещение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коммерческих площадей в паркинге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сервисы паркинг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от сдачи коммерческой недвижимости в аренду, включая коммерциализацию сервисных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10 123 017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12 621 844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15 436 897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17 301 064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17 368 136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18 336 530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18 393 689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18 456 092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20 296 292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20 347 219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выручка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13 103 940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15 743 186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18 665 801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20 643 663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20 981 883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22 079 997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22 275 729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22 650 849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24 649 209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24 869 118</w:t>
            </w:r>
          </w:p>
        </w:tc>
      </w:tr>
    </w:tbl>
    <w:bookmarkStart w:name="z659" w:id="605"/>
    <w:p>
      <w:pPr>
        <w:spacing w:after="0"/>
        <w:ind w:left="0"/>
        <w:jc w:val="both"/>
      </w:pPr>
      <w:r>
        <w:rPr>
          <w:rFonts w:ascii="Times New Roman"/>
          <w:b w:val="false"/>
          <w:i w:val="false"/>
          <w:color w:val="000000"/>
          <w:sz w:val="28"/>
        </w:rPr>
        <w:t>
      КПД № 6</w:t>
      </w:r>
    </w:p>
    <w:bookmarkEnd w:id="605"/>
    <w:bookmarkStart w:name="z660" w:id="606"/>
    <w:p>
      <w:pPr>
        <w:spacing w:after="0"/>
        <w:ind w:left="0"/>
        <w:jc w:val="both"/>
      </w:pPr>
      <w:r>
        <w:rPr>
          <w:rFonts w:ascii="Times New Roman"/>
          <w:b w:val="false"/>
          <w:i w:val="false"/>
          <w:color w:val="000000"/>
          <w:sz w:val="28"/>
        </w:rPr>
        <w:t>
      Показатель количества MICE-мероприятий</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Конгрессно-выставочная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4 045 мероприятий</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аренду КЦ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мероприятий запланировано исходя из календаря мероприятий 2023 года</w:t>
            </w:r>
          </w:p>
          <w:p>
            <w:pPr>
              <w:spacing w:after="20"/>
              <w:ind w:left="20"/>
              <w:jc w:val="both"/>
            </w:pPr>
            <w:r>
              <w:rPr>
                <w:rFonts w:ascii="Times New Roman"/>
                <w:b w:val="false"/>
                <w:i w:val="false"/>
                <w:color w:val="000000"/>
                <w:sz w:val="20"/>
              </w:rPr>
              <w:t>2025 год - 70 мероприятий (18 концертов, 12 форумов, 40 мероприятий)</w:t>
            </w:r>
          </w:p>
          <w:p>
            <w:pPr>
              <w:spacing w:after="20"/>
              <w:ind w:left="20"/>
              <w:jc w:val="both"/>
            </w:pPr>
            <w:r>
              <w:rPr>
                <w:rFonts w:ascii="Times New Roman"/>
                <w:b w:val="false"/>
                <w:i w:val="false"/>
                <w:color w:val="000000"/>
                <w:sz w:val="20"/>
              </w:rPr>
              <w:t>2026 год - 71 мероприятие (19 концертов, 12 форумов, 40 мероприятий)</w:t>
            </w:r>
          </w:p>
          <w:p>
            <w:pPr>
              <w:spacing w:after="20"/>
              <w:ind w:left="20"/>
              <w:jc w:val="both"/>
            </w:pPr>
            <w:r>
              <w:rPr>
                <w:rFonts w:ascii="Times New Roman"/>
                <w:b w:val="false"/>
                <w:i w:val="false"/>
                <w:color w:val="000000"/>
                <w:sz w:val="20"/>
              </w:rPr>
              <w:t>2027 год - 72 мероприятия (20 концертов, 12 форумов, 40 мероприятий)</w:t>
            </w:r>
          </w:p>
          <w:p>
            <w:pPr>
              <w:spacing w:after="20"/>
              <w:ind w:left="20"/>
              <w:jc w:val="both"/>
            </w:pPr>
            <w:r>
              <w:rPr>
                <w:rFonts w:ascii="Times New Roman"/>
                <w:b w:val="false"/>
                <w:i w:val="false"/>
                <w:color w:val="000000"/>
                <w:sz w:val="20"/>
              </w:rPr>
              <w:t>2028 год - 73 мероприятия (21 концерт, 12 форумов, 40 мероприятий)</w:t>
            </w:r>
          </w:p>
          <w:p>
            <w:pPr>
              <w:spacing w:after="20"/>
              <w:ind w:left="20"/>
              <w:jc w:val="both"/>
            </w:pPr>
            <w:r>
              <w:rPr>
                <w:rFonts w:ascii="Times New Roman"/>
                <w:b w:val="false"/>
                <w:i w:val="false"/>
                <w:color w:val="000000"/>
                <w:sz w:val="20"/>
              </w:rPr>
              <w:t>2029 год - 74 мероприятий (22 концерта, 12 форумов, 40 мероприятий)</w:t>
            </w:r>
          </w:p>
          <w:p>
            <w:pPr>
              <w:spacing w:after="20"/>
              <w:ind w:left="20"/>
              <w:jc w:val="both"/>
            </w:pPr>
            <w:r>
              <w:rPr>
                <w:rFonts w:ascii="Times New Roman"/>
                <w:b w:val="false"/>
                <w:i w:val="false"/>
                <w:color w:val="000000"/>
                <w:sz w:val="20"/>
              </w:rPr>
              <w:t>2030 год - 75 мероприятий (23 концерта, 12 форумов, 40 мероприятий)</w:t>
            </w:r>
          </w:p>
          <w:p>
            <w:pPr>
              <w:spacing w:after="20"/>
              <w:ind w:left="20"/>
              <w:jc w:val="both"/>
            </w:pPr>
            <w:r>
              <w:rPr>
                <w:rFonts w:ascii="Times New Roman"/>
                <w:b w:val="false"/>
                <w:i w:val="false"/>
                <w:color w:val="000000"/>
                <w:sz w:val="20"/>
              </w:rPr>
              <w:t>2031 год - 76 мероприятий (24 концерта, 12 форумов, 40 мероприятий)</w:t>
            </w:r>
          </w:p>
          <w:p>
            <w:pPr>
              <w:spacing w:after="20"/>
              <w:ind w:left="20"/>
              <w:jc w:val="both"/>
            </w:pPr>
            <w:r>
              <w:rPr>
                <w:rFonts w:ascii="Times New Roman"/>
                <w:b w:val="false"/>
                <w:i w:val="false"/>
                <w:color w:val="000000"/>
                <w:sz w:val="20"/>
              </w:rPr>
              <w:t>2032 год - 77 мероприятий (25 концертов, 12 форумов, 40 мероприятий)</w:t>
            </w:r>
          </w:p>
          <w:p>
            <w:pPr>
              <w:spacing w:after="20"/>
              <w:ind w:left="20"/>
              <w:jc w:val="both"/>
            </w:pPr>
            <w:r>
              <w:rPr>
                <w:rFonts w:ascii="Times New Roman"/>
                <w:b w:val="false"/>
                <w:i w:val="false"/>
                <w:color w:val="000000"/>
                <w:sz w:val="20"/>
              </w:rPr>
              <w:t>2033 год - 78 мероприятий (26 концертов, 12 форумов, 40 мероприятий)</w:t>
            </w:r>
          </w:p>
          <w:p>
            <w:pPr>
              <w:spacing w:after="20"/>
              <w:ind w:left="20"/>
              <w:jc w:val="both"/>
            </w:pPr>
            <w:r>
              <w:rPr>
                <w:rFonts w:ascii="Times New Roman"/>
                <w:b w:val="false"/>
                <w:i w:val="false"/>
                <w:color w:val="000000"/>
                <w:sz w:val="20"/>
              </w:rPr>
              <w:t>2034 год - 79 мероприятий (27 концертов, 12 форумов, 40 мероприятий)</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аренду МВЦ "EXPO"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мероприятий запланировано исходя из календаря мероприятий 2023 года</w:t>
            </w:r>
          </w:p>
          <w:p>
            <w:pPr>
              <w:spacing w:after="20"/>
              <w:ind w:left="20"/>
              <w:jc w:val="both"/>
            </w:pPr>
            <w:r>
              <w:rPr>
                <w:rFonts w:ascii="Times New Roman"/>
                <w:b w:val="false"/>
                <w:i w:val="false"/>
                <w:color w:val="000000"/>
                <w:sz w:val="20"/>
              </w:rPr>
              <w:t xml:space="preserve">2025 год - 46 мероприятий (25 выставок, 8 форумов, 4 ярмарки, 9 корпоративных мероприятий) </w:t>
            </w:r>
          </w:p>
          <w:p>
            <w:pPr>
              <w:spacing w:after="20"/>
              <w:ind w:left="20"/>
              <w:jc w:val="both"/>
            </w:pPr>
            <w:r>
              <w:rPr>
                <w:rFonts w:ascii="Times New Roman"/>
                <w:b w:val="false"/>
                <w:i w:val="false"/>
                <w:color w:val="000000"/>
                <w:sz w:val="20"/>
              </w:rPr>
              <w:t xml:space="preserve">2026 год - 48 мероприятий (25 выставок, 9 форумов, 4 ярмарки, 10 корпоративных мероприятий) </w:t>
            </w:r>
          </w:p>
          <w:p>
            <w:pPr>
              <w:spacing w:after="20"/>
              <w:ind w:left="20"/>
              <w:jc w:val="both"/>
            </w:pPr>
            <w:r>
              <w:rPr>
                <w:rFonts w:ascii="Times New Roman"/>
                <w:b w:val="false"/>
                <w:i w:val="false"/>
                <w:color w:val="000000"/>
                <w:sz w:val="20"/>
              </w:rPr>
              <w:t xml:space="preserve">2027 год - 50 мероприятий (26 выставок, 9 форумов, 5 ярмарок, 10 корпоративных мероприятий) </w:t>
            </w:r>
          </w:p>
          <w:p>
            <w:pPr>
              <w:spacing w:after="20"/>
              <w:ind w:left="20"/>
              <w:jc w:val="both"/>
            </w:pPr>
            <w:r>
              <w:rPr>
                <w:rFonts w:ascii="Times New Roman"/>
                <w:b w:val="false"/>
                <w:i w:val="false"/>
                <w:color w:val="000000"/>
                <w:sz w:val="20"/>
              </w:rPr>
              <w:t xml:space="preserve">2028 год - 52 мероприятия (28 выставок, 9 форумов, 5 ярмарок, 10 корпоративных мероприятий) </w:t>
            </w:r>
          </w:p>
          <w:p>
            <w:pPr>
              <w:spacing w:after="20"/>
              <w:ind w:left="20"/>
              <w:jc w:val="both"/>
            </w:pPr>
            <w:r>
              <w:rPr>
                <w:rFonts w:ascii="Times New Roman"/>
                <w:b w:val="false"/>
                <w:i w:val="false"/>
                <w:color w:val="000000"/>
                <w:sz w:val="20"/>
              </w:rPr>
              <w:t xml:space="preserve">2029 год - 54 мероприятия (28 выставок, 9 форумов, 5 ярмарок, 12 корпоративных мероприятий) </w:t>
            </w:r>
          </w:p>
          <w:p>
            <w:pPr>
              <w:spacing w:after="20"/>
              <w:ind w:left="20"/>
              <w:jc w:val="both"/>
            </w:pPr>
            <w:r>
              <w:rPr>
                <w:rFonts w:ascii="Times New Roman"/>
                <w:b w:val="false"/>
                <w:i w:val="false"/>
                <w:color w:val="000000"/>
                <w:sz w:val="20"/>
              </w:rPr>
              <w:t xml:space="preserve">2030 год - 56 мероприятий (30 выставок, 9 форумов, 5 ярмарок, 12 корпоративных мероприятий) </w:t>
            </w:r>
          </w:p>
          <w:p>
            <w:pPr>
              <w:spacing w:after="20"/>
              <w:ind w:left="20"/>
              <w:jc w:val="both"/>
            </w:pPr>
            <w:r>
              <w:rPr>
                <w:rFonts w:ascii="Times New Roman"/>
                <w:b w:val="false"/>
                <w:i w:val="false"/>
                <w:color w:val="000000"/>
                <w:sz w:val="20"/>
              </w:rPr>
              <w:t xml:space="preserve">2031 год - 58 мероприятий (30 выставок, 10 форумов, 5 ярмарок, 13 корпоративных мероприятий) </w:t>
            </w:r>
          </w:p>
          <w:p>
            <w:pPr>
              <w:spacing w:after="20"/>
              <w:ind w:left="20"/>
              <w:jc w:val="both"/>
            </w:pPr>
            <w:r>
              <w:rPr>
                <w:rFonts w:ascii="Times New Roman"/>
                <w:b w:val="false"/>
                <w:i w:val="false"/>
                <w:color w:val="000000"/>
                <w:sz w:val="20"/>
              </w:rPr>
              <w:t>2032 год - 60 мероприятий (32 выставки, 10 форумов, 5 ярмарок, 13 корпоративных мероприятий)</w:t>
            </w:r>
          </w:p>
          <w:p>
            <w:pPr>
              <w:spacing w:after="20"/>
              <w:ind w:left="20"/>
              <w:jc w:val="both"/>
            </w:pPr>
            <w:r>
              <w:rPr>
                <w:rFonts w:ascii="Times New Roman"/>
                <w:b w:val="false"/>
                <w:i w:val="false"/>
                <w:color w:val="000000"/>
                <w:sz w:val="20"/>
              </w:rPr>
              <w:t>2033 год - 62 мероприятий (32 выставки, 10 форумов, 5 ярмарок, 15 корпоративных мероприятий)</w:t>
            </w:r>
          </w:p>
          <w:p>
            <w:pPr>
              <w:spacing w:after="20"/>
              <w:ind w:left="20"/>
              <w:jc w:val="both"/>
            </w:pPr>
            <w:r>
              <w:rPr>
                <w:rFonts w:ascii="Times New Roman"/>
                <w:b w:val="false"/>
                <w:i w:val="false"/>
                <w:color w:val="000000"/>
                <w:sz w:val="20"/>
              </w:rPr>
              <w:t>2034 год - 64 мероприятия (34 выставки, 10 форумов, 5 ярмарок, 15 корпоративных мероприятий)</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на летней сцене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артистов на малой сцене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исторических данных за период с 2021 по 2023 год проведено 9 МПК, количество МПК запланировано исходя из фактически проведенных МПК в 2023 году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проведение Международного форума Астана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целях рентабельности и популяризации территории Делового центра "ЕХРО" Общество ежегодно проводит собственные мероприятия, такие как: школьная ярмарка "Kids EXPO" и новогодняя ярмарка "Жаңа жыл FEST"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Hilton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мероприятия: 50</w:t>
            </w:r>
          </w:p>
          <w:p>
            <w:pPr>
              <w:spacing w:after="20"/>
              <w:ind w:left="20"/>
              <w:jc w:val="both"/>
            </w:pPr>
            <w:r>
              <w:rPr>
                <w:rFonts w:ascii="Times New Roman"/>
                <w:b w:val="false"/>
                <w:i w:val="false"/>
                <w:color w:val="000000"/>
                <w:sz w:val="20"/>
              </w:rPr>
              <w:t>Корпоративные мероприятия: 145</w:t>
            </w:r>
          </w:p>
          <w:p>
            <w:pPr>
              <w:spacing w:after="20"/>
              <w:ind w:left="20"/>
              <w:jc w:val="both"/>
            </w:pPr>
            <w:r>
              <w:rPr>
                <w:rFonts w:ascii="Times New Roman"/>
                <w:b w:val="false"/>
                <w:i w:val="false"/>
                <w:color w:val="000000"/>
                <w:sz w:val="20"/>
              </w:rPr>
              <w:t>Государственные мероприятия: 25</w:t>
            </w:r>
          </w:p>
        </w:tc>
      </w:tr>
    </w:tbl>
    <w:bookmarkStart w:name="z661" w:id="607"/>
    <w:p>
      <w:pPr>
        <w:spacing w:after="0"/>
        <w:ind w:left="0"/>
        <w:jc w:val="both"/>
      </w:pPr>
      <w:r>
        <w:rPr>
          <w:rFonts w:ascii="Times New Roman"/>
          <w:b w:val="false"/>
          <w:i w:val="false"/>
          <w:color w:val="000000"/>
          <w:sz w:val="28"/>
        </w:rPr>
        <w:t>
      В 2021 году Обществом обеспечено проведение 2 мероприятий:</w:t>
      </w:r>
    </w:p>
    <w:bookmarkEnd w:id="607"/>
    <w:bookmarkStart w:name="z662" w:id="608"/>
    <w:p>
      <w:pPr>
        <w:spacing w:after="0"/>
        <w:ind w:left="0"/>
        <w:jc w:val="both"/>
      </w:pPr>
      <w:r>
        <w:rPr>
          <w:rFonts w:ascii="Times New Roman"/>
          <w:b w:val="false"/>
          <w:i w:val="false"/>
          <w:color w:val="000000"/>
          <w:sz w:val="28"/>
        </w:rPr>
        <w:t>
      1) 8-е заседание Межгосударственной казахстанско-армянской комиссии по торговому экономическому сотрудничеству;</w:t>
      </w:r>
    </w:p>
    <w:bookmarkEnd w:id="608"/>
    <w:bookmarkStart w:name="z663" w:id="609"/>
    <w:p>
      <w:pPr>
        <w:spacing w:after="0"/>
        <w:ind w:left="0"/>
        <w:jc w:val="both"/>
      </w:pPr>
      <w:r>
        <w:rPr>
          <w:rFonts w:ascii="Times New Roman"/>
          <w:b w:val="false"/>
          <w:i w:val="false"/>
          <w:color w:val="000000"/>
          <w:sz w:val="28"/>
        </w:rPr>
        <w:t>
      2) 10-е заседание Межправительственной комиссии по торгово-экономическому, научно-техническому и культурному сотрудничеству между Казахстаном и Пакистаном.</w:t>
      </w:r>
    </w:p>
    <w:bookmarkEnd w:id="609"/>
    <w:bookmarkStart w:name="z664" w:id="610"/>
    <w:p>
      <w:pPr>
        <w:spacing w:after="0"/>
        <w:ind w:left="0"/>
        <w:jc w:val="both"/>
      </w:pPr>
      <w:r>
        <w:rPr>
          <w:rFonts w:ascii="Times New Roman"/>
          <w:b w:val="false"/>
          <w:i w:val="false"/>
          <w:color w:val="000000"/>
          <w:sz w:val="28"/>
        </w:rPr>
        <w:t>
      В 2022 году Обществом обеспечено проведение 4 мероприятий:</w:t>
      </w:r>
    </w:p>
    <w:bookmarkEnd w:id="610"/>
    <w:bookmarkStart w:name="z665" w:id="611"/>
    <w:p>
      <w:pPr>
        <w:spacing w:after="0"/>
        <w:ind w:left="0"/>
        <w:jc w:val="both"/>
      </w:pPr>
      <w:r>
        <w:rPr>
          <w:rFonts w:ascii="Times New Roman"/>
          <w:b w:val="false"/>
          <w:i w:val="false"/>
          <w:color w:val="000000"/>
          <w:sz w:val="28"/>
        </w:rPr>
        <w:t>
      1) 1-е заседание рабочей группы по торгово-экономическому сотрудничеству между Республикой Казахстан и Кыргызской Республикой;</w:t>
      </w:r>
    </w:p>
    <w:bookmarkEnd w:id="611"/>
    <w:bookmarkStart w:name="z666" w:id="612"/>
    <w:p>
      <w:pPr>
        <w:spacing w:after="0"/>
        <w:ind w:left="0"/>
        <w:jc w:val="both"/>
      </w:pPr>
      <w:r>
        <w:rPr>
          <w:rFonts w:ascii="Times New Roman"/>
          <w:b w:val="false"/>
          <w:i w:val="false"/>
          <w:color w:val="000000"/>
          <w:sz w:val="28"/>
        </w:rPr>
        <w:t>
      2) 17-заседание МПК между Республикой Казахстан и Республикой Беларусь;</w:t>
      </w:r>
    </w:p>
    <w:bookmarkEnd w:id="612"/>
    <w:bookmarkStart w:name="z667" w:id="613"/>
    <w:p>
      <w:pPr>
        <w:spacing w:after="0"/>
        <w:ind w:left="0"/>
        <w:jc w:val="both"/>
      </w:pPr>
      <w:r>
        <w:rPr>
          <w:rFonts w:ascii="Times New Roman"/>
          <w:b w:val="false"/>
          <w:i w:val="false"/>
          <w:color w:val="000000"/>
          <w:sz w:val="28"/>
        </w:rPr>
        <w:t>
      3) 18-е заседание казахстанско-азербайджанской МПК;</w:t>
      </w:r>
    </w:p>
    <w:bookmarkEnd w:id="613"/>
    <w:bookmarkStart w:name="z668" w:id="614"/>
    <w:p>
      <w:pPr>
        <w:spacing w:after="0"/>
        <w:ind w:left="0"/>
        <w:jc w:val="both"/>
      </w:pPr>
      <w:r>
        <w:rPr>
          <w:rFonts w:ascii="Times New Roman"/>
          <w:b w:val="false"/>
          <w:i w:val="false"/>
          <w:color w:val="000000"/>
          <w:sz w:val="28"/>
        </w:rPr>
        <w:t>
      4) 9-го заседания казахстанско-израильской совместной комиссии по торгово-экономическому сотрудничеству.</w:t>
      </w:r>
    </w:p>
    <w:bookmarkEnd w:id="614"/>
    <w:bookmarkStart w:name="z669" w:id="615"/>
    <w:p>
      <w:pPr>
        <w:spacing w:after="0"/>
        <w:ind w:left="0"/>
        <w:jc w:val="both"/>
      </w:pPr>
      <w:r>
        <w:rPr>
          <w:rFonts w:ascii="Times New Roman"/>
          <w:b w:val="false"/>
          <w:i w:val="false"/>
          <w:color w:val="000000"/>
          <w:sz w:val="28"/>
        </w:rPr>
        <w:t>
      В 2023 году Обществом обеспечено проведение 3 мероприятий:</w:t>
      </w:r>
    </w:p>
    <w:bookmarkEnd w:id="615"/>
    <w:bookmarkStart w:name="z670" w:id="616"/>
    <w:p>
      <w:pPr>
        <w:spacing w:after="0"/>
        <w:ind w:left="0"/>
        <w:jc w:val="both"/>
      </w:pPr>
      <w:r>
        <w:rPr>
          <w:rFonts w:ascii="Times New Roman"/>
          <w:b w:val="false"/>
          <w:i w:val="false"/>
          <w:color w:val="000000"/>
          <w:sz w:val="28"/>
        </w:rPr>
        <w:t>
      1) 18-е заседание межправительственной комиссии по торгово-экономическому, научно-техническому и культурному сотрудничеству между Республикой Казахстан и Исламской Республикой Иран;</w:t>
      </w:r>
    </w:p>
    <w:bookmarkEnd w:id="616"/>
    <w:bookmarkStart w:name="z671" w:id="617"/>
    <w:p>
      <w:pPr>
        <w:spacing w:after="0"/>
        <w:ind w:left="0"/>
        <w:jc w:val="both"/>
      </w:pPr>
      <w:r>
        <w:rPr>
          <w:rFonts w:ascii="Times New Roman"/>
          <w:b w:val="false"/>
          <w:i w:val="false"/>
          <w:color w:val="000000"/>
          <w:sz w:val="28"/>
        </w:rPr>
        <w:t>
      2) 17-е заседание казахстанско-таджикской Межправительственной комиссии по экономическому, научно-техническому и культурному сотрудничеству;</w:t>
      </w:r>
    </w:p>
    <w:bookmarkEnd w:id="617"/>
    <w:bookmarkStart w:name="z672" w:id="618"/>
    <w:p>
      <w:pPr>
        <w:spacing w:after="0"/>
        <w:ind w:left="0"/>
        <w:jc w:val="both"/>
      </w:pPr>
      <w:r>
        <w:rPr>
          <w:rFonts w:ascii="Times New Roman"/>
          <w:b w:val="false"/>
          <w:i w:val="false"/>
          <w:color w:val="000000"/>
          <w:sz w:val="28"/>
        </w:rPr>
        <w:t>
      3) 11-го заседание казахстанско-швейцарской комиссии по торгово-экономическому сотрудничеству.</w:t>
      </w:r>
    </w:p>
    <w:bookmarkEnd w:id="618"/>
    <w:bookmarkStart w:name="z673" w:id="619"/>
    <w:p>
      <w:pPr>
        <w:spacing w:after="0"/>
        <w:ind w:left="0"/>
        <w:jc w:val="both"/>
      </w:pPr>
      <w:r>
        <w:rPr>
          <w:rFonts w:ascii="Times New Roman"/>
          <w:b w:val="false"/>
          <w:i w:val="false"/>
          <w:color w:val="000000"/>
          <w:sz w:val="28"/>
        </w:rPr>
        <w:t>
      В 2024 году Обществом обеспечено проведение 4 мероприятий:</w:t>
      </w:r>
    </w:p>
    <w:bookmarkEnd w:id="619"/>
    <w:bookmarkStart w:name="z674" w:id="620"/>
    <w:p>
      <w:pPr>
        <w:spacing w:after="0"/>
        <w:ind w:left="0"/>
        <w:jc w:val="both"/>
      </w:pPr>
      <w:r>
        <w:rPr>
          <w:rFonts w:ascii="Times New Roman"/>
          <w:b w:val="false"/>
          <w:i w:val="false"/>
          <w:color w:val="000000"/>
          <w:sz w:val="28"/>
        </w:rPr>
        <w:t>
      1) 11-е заседание МПК между Республикой Казахстан и Социалистической Республикой Вьетнам;</w:t>
      </w:r>
    </w:p>
    <w:bookmarkEnd w:id="620"/>
    <w:bookmarkStart w:name="z675" w:id="621"/>
    <w:p>
      <w:pPr>
        <w:spacing w:after="0"/>
        <w:ind w:left="0"/>
        <w:jc w:val="both"/>
      </w:pPr>
      <w:r>
        <w:rPr>
          <w:rFonts w:ascii="Times New Roman"/>
          <w:b w:val="false"/>
          <w:i w:val="false"/>
          <w:color w:val="000000"/>
          <w:sz w:val="28"/>
        </w:rPr>
        <w:t>
      2) 13-е заседание подкомитета по торгово-экономическому сотрудничеству Комитета по казахстанско-китайскому сотрудничеству;</w:t>
      </w:r>
    </w:p>
    <w:bookmarkEnd w:id="621"/>
    <w:bookmarkStart w:name="z676" w:id="622"/>
    <w:p>
      <w:pPr>
        <w:spacing w:after="0"/>
        <w:ind w:left="0"/>
        <w:jc w:val="both"/>
      </w:pPr>
      <w:r>
        <w:rPr>
          <w:rFonts w:ascii="Times New Roman"/>
          <w:b w:val="false"/>
          <w:i w:val="false"/>
          <w:color w:val="000000"/>
          <w:sz w:val="28"/>
        </w:rPr>
        <w:t>
      3) очередное заседание Совета по торговле и инвестициям Центральной Азии и США (TIFA);</w:t>
      </w:r>
    </w:p>
    <w:bookmarkEnd w:id="622"/>
    <w:bookmarkStart w:name="z677" w:id="623"/>
    <w:p>
      <w:pPr>
        <w:spacing w:after="0"/>
        <w:ind w:left="0"/>
        <w:jc w:val="both"/>
      </w:pPr>
      <w:r>
        <w:rPr>
          <w:rFonts w:ascii="Times New Roman"/>
          <w:b w:val="false"/>
          <w:i w:val="false"/>
          <w:color w:val="000000"/>
          <w:sz w:val="28"/>
        </w:rPr>
        <w:t>
      4) МПК между Республикой Казахстан и Российской Федерацией.</w:t>
      </w:r>
    </w:p>
    <w:bookmarkEnd w:id="623"/>
    <w:bookmarkStart w:name="z678" w:id="624"/>
    <w:p>
      <w:pPr>
        <w:spacing w:after="0"/>
        <w:ind w:left="0"/>
        <w:jc w:val="both"/>
      </w:pPr>
      <w:r>
        <w:rPr>
          <w:rFonts w:ascii="Times New Roman"/>
          <w:b w:val="false"/>
          <w:i w:val="false"/>
          <w:color w:val="000000"/>
          <w:sz w:val="28"/>
        </w:rPr>
        <w:t>
      Вместе с тем информацию о перечне запланированных МПК в рамках торгово-экономического сотрудничества на 2025 – 2034 годы не представляется возможным конкретизировать, ввиду того что определение даты проведения МПК занимает длительную процедуру и требует согласования с обеими сторонами.</w:t>
      </w:r>
    </w:p>
    <w:bookmarkEnd w:id="624"/>
    <w:bookmarkStart w:name="z679" w:id="625"/>
    <w:p>
      <w:pPr>
        <w:spacing w:after="0"/>
        <w:ind w:left="0"/>
        <w:jc w:val="both"/>
      </w:pPr>
      <w:r>
        <w:rPr>
          <w:rFonts w:ascii="Times New Roman"/>
          <w:b w:val="false"/>
          <w:i w:val="false"/>
          <w:color w:val="000000"/>
          <w:sz w:val="28"/>
        </w:rPr>
        <w:t>
      КПД № 7</w:t>
      </w:r>
    </w:p>
    <w:bookmarkEnd w:id="625"/>
    <w:bookmarkStart w:name="z680" w:id="626"/>
    <w:p>
      <w:pPr>
        <w:spacing w:after="0"/>
        <w:ind w:left="0"/>
        <w:jc w:val="both"/>
      </w:pPr>
      <w:r>
        <w:rPr>
          <w:rFonts w:ascii="Times New Roman"/>
          <w:b w:val="false"/>
          <w:i w:val="false"/>
          <w:color w:val="000000"/>
          <w:sz w:val="28"/>
        </w:rPr>
        <w:t>
      Показатель Ebitda</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2025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2026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на 2027 год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на 2028 год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2029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2030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на 2031 год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на 2032 год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на 2033 год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2034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 амортизация ОС и НМА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1 210 817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1 186 599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1 162 868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1 139 611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1 116 819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1 094 483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1 072 594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1 051 141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1 030 118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1 009 516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до налогооблажения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52 311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447 291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2 065 926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3 195 406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3 416 154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3 074 878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2 975 361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2 898 134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3 262 447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3 179 603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(доходы до налооблажения+износ ОС и НМА), млн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1 263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1 634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3 229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4 335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4 533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4 169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4 048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3 949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4 293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4 189 </w:t>
            </w:r>
          </w:p>
        </w:tc>
      </w:tr>
    </w:tbl>
    <w:bookmarkStart w:name="z681" w:id="627"/>
    <w:p>
      <w:pPr>
        <w:spacing w:after="0"/>
        <w:ind w:left="0"/>
        <w:jc w:val="both"/>
      </w:pPr>
      <w:r>
        <w:rPr>
          <w:rFonts w:ascii="Times New Roman"/>
          <w:b w:val="false"/>
          <w:i w:val="false"/>
          <w:color w:val="000000"/>
          <w:sz w:val="28"/>
        </w:rPr>
        <w:t>
      КПД № 8</w:t>
      </w:r>
    </w:p>
    <w:bookmarkEnd w:id="627"/>
    <w:bookmarkStart w:name="z682" w:id="628"/>
    <w:p>
      <w:pPr>
        <w:spacing w:after="0"/>
        <w:ind w:left="0"/>
        <w:jc w:val="both"/>
      </w:pPr>
      <w:r>
        <w:rPr>
          <w:rFonts w:ascii="Times New Roman"/>
          <w:b w:val="false"/>
          <w:i w:val="false"/>
          <w:color w:val="000000"/>
          <w:sz w:val="28"/>
        </w:rPr>
        <w:t>
      Показатель увеличения доли женщин на уровне принятия решений</w:t>
      </w:r>
    </w:p>
    <w:bookmarkEnd w:id="628"/>
    <w:bookmarkStart w:name="z683" w:id="629"/>
    <w:p>
      <w:pPr>
        <w:spacing w:after="0"/>
        <w:ind w:left="0"/>
        <w:jc w:val="both"/>
      </w:pPr>
      <w:r>
        <w:rPr>
          <w:rFonts w:ascii="Times New Roman"/>
          <w:b w:val="false"/>
          <w:i w:val="false"/>
          <w:color w:val="000000"/>
          <w:sz w:val="28"/>
        </w:rPr>
        <w:t>
      ПРИЛОЖЕНИЕ</w:t>
      </w:r>
    </w:p>
    <w:bookmarkEnd w:id="629"/>
    <w:bookmarkStart w:name="z684" w:id="630"/>
    <w:p>
      <w:pPr>
        <w:spacing w:after="0"/>
        <w:ind w:left="0"/>
        <w:jc w:val="both"/>
      </w:pPr>
      <w:r>
        <w:rPr>
          <w:rFonts w:ascii="Times New Roman"/>
          <w:b w:val="false"/>
          <w:i w:val="false"/>
          <w:color w:val="000000"/>
          <w:sz w:val="28"/>
        </w:rPr>
        <w:t>
      к Указу Президента</w:t>
      </w:r>
    </w:p>
    <w:bookmarkEnd w:id="630"/>
    <w:bookmarkStart w:name="z685" w:id="631"/>
    <w:p>
      <w:pPr>
        <w:spacing w:after="0"/>
        <w:ind w:left="0"/>
        <w:jc w:val="both"/>
      </w:pPr>
      <w:r>
        <w:rPr>
          <w:rFonts w:ascii="Times New Roman"/>
          <w:b w:val="false"/>
          <w:i w:val="false"/>
          <w:color w:val="000000"/>
          <w:sz w:val="28"/>
        </w:rPr>
        <w:t>
      Республики Казахстан</w:t>
      </w:r>
    </w:p>
    <w:bookmarkEnd w:id="631"/>
    <w:bookmarkStart w:name="z686" w:id="632"/>
    <w:p>
      <w:pPr>
        <w:spacing w:after="0"/>
        <w:ind w:left="0"/>
        <w:jc w:val="both"/>
      </w:pPr>
      <w:r>
        <w:rPr>
          <w:rFonts w:ascii="Times New Roman"/>
          <w:b w:val="false"/>
          <w:i w:val="false"/>
          <w:color w:val="000000"/>
          <w:sz w:val="28"/>
        </w:rPr>
        <w:t>
      от 1 апреля 2022 года № 853</w:t>
      </w:r>
    </w:p>
    <w:bookmarkEnd w:id="632"/>
    <w:bookmarkStart w:name="z687" w:id="633"/>
    <w:p>
      <w:pPr>
        <w:spacing w:after="0"/>
        <w:ind w:left="0"/>
        <w:jc w:val="both"/>
      </w:pPr>
      <w:r>
        <w:rPr>
          <w:rFonts w:ascii="Times New Roman"/>
          <w:b w:val="false"/>
          <w:i w:val="false"/>
          <w:color w:val="000000"/>
          <w:sz w:val="28"/>
        </w:rPr>
        <w:t>
      УТВЕРЖДЕНА</w:t>
      </w:r>
    </w:p>
    <w:bookmarkEnd w:id="633"/>
    <w:bookmarkStart w:name="z688" w:id="634"/>
    <w:p>
      <w:pPr>
        <w:spacing w:after="0"/>
        <w:ind w:left="0"/>
        <w:jc w:val="both"/>
      </w:pPr>
      <w:r>
        <w:rPr>
          <w:rFonts w:ascii="Times New Roman"/>
          <w:b w:val="false"/>
          <w:i w:val="false"/>
          <w:color w:val="000000"/>
          <w:sz w:val="28"/>
        </w:rPr>
        <w:t>
      Указом Президента</w:t>
      </w:r>
    </w:p>
    <w:bookmarkEnd w:id="634"/>
    <w:bookmarkStart w:name="z689" w:id="635"/>
    <w:p>
      <w:pPr>
        <w:spacing w:after="0"/>
        <w:ind w:left="0"/>
        <w:jc w:val="both"/>
      </w:pPr>
      <w:r>
        <w:rPr>
          <w:rFonts w:ascii="Times New Roman"/>
          <w:b w:val="false"/>
          <w:i w:val="false"/>
          <w:color w:val="000000"/>
          <w:sz w:val="28"/>
        </w:rPr>
        <w:t>
      Республики Казахстан</w:t>
      </w:r>
    </w:p>
    <w:bookmarkEnd w:id="635"/>
    <w:bookmarkStart w:name="z690" w:id="636"/>
    <w:p>
      <w:pPr>
        <w:spacing w:after="0"/>
        <w:ind w:left="0"/>
        <w:jc w:val="both"/>
      </w:pPr>
      <w:r>
        <w:rPr>
          <w:rFonts w:ascii="Times New Roman"/>
          <w:b w:val="false"/>
          <w:i w:val="false"/>
          <w:color w:val="000000"/>
          <w:sz w:val="28"/>
        </w:rPr>
        <w:t>
      от 6 декабря 2016 года № 384</w:t>
      </w:r>
    </w:p>
    <w:bookmarkEnd w:id="636"/>
    <w:bookmarkStart w:name="z691" w:id="637"/>
    <w:p>
      <w:pPr>
        <w:spacing w:after="0"/>
        <w:ind w:left="0"/>
        <w:jc w:val="left"/>
      </w:pPr>
      <w:r>
        <w:rPr>
          <w:rFonts w:ascii="Times New Roman"/>
          <w:b/>
          <w:i w:val="false"/>
          <w:color w:val="000000"/>
        </w:rPr>
        <w:t xml:space="preserve"> КОНЦЕПЦИЯ</w:t>
      </w:r>
      <w:r>
        <w:br/>
      </w:r>
      <w:r>
        <w:rPr>
          <w:rFonts w:ascii="Times New Roman"/>
          <w:b/>
          <w:i w:val="false"/>
          <w:color w:val="000000"/>
        </w:rPr>
        <w:t>семейной и гендерной политики в Республике Казахстан до 2030 года</w:t>
      </w:r>
    </w:p>
    <w:bookmarkEnd w:id="637"/>
    <w:bookmarkStart w:name="z692" w:id="638"/>
    <w:p>
      <w:pPr>
        <w:spacing w:after="0"/>
        <w:ind w:left="0"/>
        <w:jc w:val="both"/>
      </w:pPr>
      <w:r>
        <w:rPr>
          <w:rFonts w:ascii="Times New Roman"/>
          <w:b w:val="false"/>
          <w:i w:val="false"/>
          <w:color w:val="000000"/>
          <w:sz w:val="28"/>
        </w:rPr>
        <w:t xml:space="preserve">
      8. Доля женщин в исполнительных, представительных и судебных органах власти, государственном, квазигосударственном и корпоративном секторах на уровне принятия решений </w:t>
      </w:r>
    </w:p>
    <w:bookmarkEnd w:id="638"/>
    <w:bookmarkStart w:name="z693" w:id="639"/>
    <w:p>
      <w:pPr>
        <w:spacing w:after="0"/>
        <w:ind w:left="0"/>
        <w:jc w:val="both"/>
      </w:pPr>
      <w:r>
        <w:rPr>
          <w:rFonts w:ascii="Times New Roman"/>
          <w:b w:val="false"/>
          <w:i w:val="false"/>
          <w:color w:val="000000"/>
          <w:sz w:val="28"/>
        </w:rPr>
        <w:t xml:space="preserve">
      к 2025 году - 25,5 %, </w:t>
      </w:r>
    </w:p>
    <w:bookmarkEnd w:id="639"/>
    <w:bookmarkStart w:name="z694" w:id="640"/>
    <w:p>
      <w:pPr>
        <w:spacing w:after="0"/>
        <w:ind w:left="0"/>
        <w:jc w:val="both"/>
      </w:pPr>
      <w:r>
        <w:rPr>
          <w:rFonts w:ascii="Times New Roman"/>
          <w:b w:val="false"/>
          <w:i w:val="false"/>
          <w:color w:val="000000"/>
          <w:sz w:val="28"/>
        </w:rPr>
        <w:t xml:space="preserve">
      к 2026 году - 26,0 %, </w:t>
      </w:r>
    </w:p>
    <w:bookmarkEnd w:id="640"/>
    <w:bookmarkStart w:name="z695" w:id="641"/>
    <w:p>
      <w:pPr>
        <w:spacing w:after="0"/>
        <w:ind w:left="0"/>
        <w:jc w:val="both"/>
      </w:pPr>
      <w:r>
        <w:rPr>
          <w:rFonts w:ascii="Times New Roman"/>
          <w:b w:val="false"/>
          <w:i w:val="false"/>
          <w:color w:val="000000"/>
          <w:sz w:val="28"/>
        </w:rPr>
        <w:t xml:space="preserve">
      к 2027 году - 27,0 %, </w:t>
      </w:r>
    </w:p>
    <w:bookmarkEnd w:id="641"/>
    <w:bookmarkStart w:name="z696" w:id="642"/>
    <w:p>
      <w:pPr>
        <w:spacing w:after="0"/>
        <w:ind w:left="0"/>
        <w:jc w:val="both"/>
      </w:pPr>
      <w:r>
        <w:rPr>
          <w:rFonts w:ascii="Times New Roman"/>
          <w:b w:val="false"/>
          <w:i w:val="false"/>
          <w:color w:val="000000"/>
          <w:sz w:val="28"/>
        </w:rPr>
        <w:t xml:space="preserve">
      к 2028 году - 28,0 %, </w:t>
      </w:r>
    </w:p>
    <w:bookmarkEnd w:id="642"/>
    <w:bookmarkStart w:name="z697" w:id="643"/>
    <w:p>
      <w:pPr>
        <w:spacing w:after="0"/>
        <w:ind w:left="0"/>
        <w:jc w:val="both"/>
      </w:pPr>
      <w:r>
        <w:rPr>
          <w:rFonts w:ascii="Times New Roman"/>
          <w:b w:val="false"/>
          <w:i w:val="false"/>
          <w:color w:val="000000"/>
          <w:sz w:val="28"/>
        </w:rPr>
        <w:t xml:space="preserve">
      к 2029 году - 29,0 %, </w:t>
      </w:r>
    </w:p>
    <w:bookmarkEnd w:id="643"/>
    <w:bookmarkStart w:name="z698" w:id="644"/>
    <w:p>
      <w:pPr>
        <w:spacing w:after="0"/>
        <w:ind w:left="0"/>
        <w:jc w:val="both"/>
      </w:pPr>
      <w:r>
        <w:rPr>
          <w:rFonts w:ascii="Times New Roman"/>
          <w:b w:val="false"/>
          <w:i w:val="false"/>
          <w:color w:val="000000"/>
          <w:sz w:val="28"/>
        </w:rPr>
        <w:t>
      к 2030 году – 30 %.</w:t>
      </w:r>
    </w:p>
    <w:bookmarkEnd w:id="644"/>
    <w:bookmarkStart w:name="z699" w:id="645"/>
    <w:p>
      <w:pPr>
        <w:spacing w:after="0"/>
        <w:ind w:left="0"/>
        <w:jc w:val="both"/>
      </w:pPr>
      <w:r>
        <w:rPr>
          <w:rFonts w:ascii="Times New Roman"/>
          <w:b w:val="false"/>
          <w:i w:val="false"/>
          <w:color w:val="000000"/>
          <w:sz w:val="28"/>
        </w:rPr>
        <w:t>
      КПД № 9</w:t>
      </w:r>
    </w:p>
    <w:bookmarkEnd w:id="645"/>
    <w:bookmarkStart w:name="z700" w:id="646"/>
    <w:p>
      <w:pPr>
        <w:spacing w:after="0"/>
        <w:ind w:left="0"/>
        <w:jc w:val="both"/>
      </w:pPr>
      <w:r>
        <w:rPr>
          <w:rFonts w:ascii="Times New Roman"/>
          <w:b w:val="false"/>
          <w:i w:val="false"/>
          <w:color w:val="000000"/>
          <w:sz w:val="28"/>
        </w:rPr>
        <w:t>
      Показатель диагностики корпоративного управления</w:t>
      </w:r>
    </w:p>
    <w:bookmarkEnd w:id="646"/>
    <w:bookmarkStart w:name="z701" w:id="647"/>
    <w:p>
      <w:pPr>
        <w:spacing w:after="0"/>
        <w:ind w:left="0"/>
        <w:jc w:val="both"/>
      </w:pPr>
      <w:r>
        <w:rPr>
          <w:rFonts w:ascii="Times New Roman"/>
          <w:b w:val="false"/>
          <w:i w:val="false"/>
          <w:color w:val="000000"/>
          <w:sz w:val="28"/>
        </w:rPr>
        <w:t xml:space="preserve">
      В соответствии с пунктом 2 статьи 182 Закона Республики Казахстан от 1 марта 2011 "О государственном имуществе", также с пунктом 113 Кодекса корпоративного управления АО "НК "QazExpoCongress", утвержденного приказом Министерства торговли и интеграции Республики Казахстан от 14 декабря 2020 года № 288, Общество не реже одного раза в три года проводит независимую диагностику корпоративного управления Общества. </w:t>
      </w:r>
    </w:p>
    <w:bookmarkEnd w:id="647"/>
    <w:bookmarkStart w:name="z702" w:id="648"/>
    <w:p>
      <w:pPr>
        <w:spacing w:after="0"/>
        <w:ind w:left="0"/>
        <w:jc w:val="both"/>
      </w:pPr>
      <w:r>
        <w:rPr>
          <w:rFonts w:ascii="Times New Roman"/>
          <w:b w:val="false"/>
          <w:i w:val="false"/>
          <w:color w:val="000000"/>
          <w:sz w:val="28"/>
        </w:rPr>
        <w:t xml:space="preserve">
      В 2022 году в Обществе была проведена диагностика корпоративного управления, и в соответствии с результатами оценки система корпоративного управления Общества соответствует большинству рекомендаций ведущих практик. Общий рейтинг корпоративного управления составил 84 %. </w:t>
      </w:r>
    </w:p>
    <w:bookmarkEnd w:id="648"/>
    <w:bookmarkStart w:name="z703" w:id="649"/>
    <w:p>
      <w:pPr>
        <w:spacing w:after="0"/>
        <w:ind w:left="0"/>
        <w:jc w:val="both"/>
      </w:pPr>
      <w:r>
        <w:rPr>
          <w:rFonts w:ascii="Times New Roman"/>
          <w:b w:val="false"/>
          <w:i w:val="false"/>
          <w:color w:val="000000"/>
          <w:sz w:val="28"/>
        </w:rPr>
        <w:t xml:space="preserve">
      Несмотря на то, что Общество достигло значительных результатов в данном направлении, самым низким показателем в независимой оценке корпоративного управления является устойчивое развитие с рейтингом 76 %. </w:t>
      </w:r>
    </w:p>
    <w:bookmarkEnd w:id="649"/>
    <w:bookmarkStart w:name="z704" w:id="650"/>
    <w:p>
      <w:pPr>
        <w:spacing w:after="0"/>
        <w:ind w:left="0"/>
        <w:jc w:val="both"/>
      </w:pPr>
      <w:r>
        <w:rPr>
          <w:rFonts w:ascii="Times New Roman"/>
          <w:b w:val="false"/>
          <w:i w:val="false"/>
          <w:color w:val="000000"/>
          <w:sz w:val="28"/>
        </w:rPr>
        <w:t>
      В этой связи осуществление эффективного корпоративного управления требует приоритетного внимания к принципам устойчивого развития. Для дальнейшего улучшения корпоративного управления предлагается внедрить принципы ESG через ряд стратегических мероприятий.</w:t>
      </w:r>
    </w:p>
    <w:bookmarkEnd w:id="650"/>
    <w:bookmarkStart w:name="z705" w:id="651"/>
    <w:p>
      <w:pPr>
        <w:spacing w:after="0"/>
        <w:ind w:left="0"/>
        <w:jc w:val="both"/>
      </w:pPr>
      <w:r>
        <w:rPr>
          <w:rFonts w:ascii="Times New Roman"/>
          <w:b w:val="false"/>
          <w:i w:val="false"/>
          <w:color w:val="000000"/>
          <w:sz w:val="28"/>
        </w:rPr>
        <w:t>
      В первую очередь Общество продолжит работу по увеличению и совершенствованию системы корпоративного управления с соблюдением принципов прозрачности и транспарентности, внедрением передовых ESG-практик.</w:t>
      </w:r>
    </w:p>
    <w:bookmarkEnd w:id="651"/>
    <w:bookmarkStart w:name="z706" w:id="652"/>
    <w:p>
      <w:pPr>
        <w:spacing w:after="0"/>
        <w:ind w:left="0"/>
        <w:jc w:val="both"/>
      </w:pPr>
      <w:r>
        <w:rPr>
          <w:rFonts w:ascii="Times New Roman"/>
          <w:b w:val="false"/>
          <w:i w:val="false"/>
          <w:color w:val="000000"/>
          <w:sz w:val="28"/>
        </w:rPr>
        <w:t>
      Предполагаются разработка и внедрение нормативной документации, устанавливающей стандарты и требования ESG для реализации принципов устойчивого развития. Далее одними из ключевых направлений являются обучение и вовлечение руководящего состава и работников компании в распространение устойчивых практик развития и принципов ESG.</w:t>
      </w:r>
    </w:p>
    <w:bookmarkEnd w:id="652"/>
    <w:bookmarkStart w:name="z707" w:id="653"/>
    <w:p>
      <w:pPr>
        <w:spacing w:after="0"/>
        <w:ind w:left="0"/>
        <w:jc w:val="both"/>
      </w:pPr>
      <w:r>
        <w:rPr>
          <w:rFonts w:ascii="Times New Roman"/>
          <w:b w:val="false"/>
          <w:i w:val="false"/>
          <w:color w:val="000000"/>
          <w:sz w:val="28"/>
        </w:rPr>
        <w:t>
      Обеспечение достижения Целей устойчивого развития ООН также является важным компонентом стратегии, что подчеркивает социальную ответственность Общества и ее стремление к соблюдению глобальных принципов и приоритетов устойчивого развития страны.</w:t>
      </w:r>
    </w:p>
    <w:bookmarkEnd w:id="653"/>
    <w:bookmarkStart w:name="z708" w:id="654"/>
    <w:p>
      <w:pPr>
        <w:spacing w:after="0"/>
        <w:ind w:left="0"/>
        <w:jc w:val="both"/>
      </w:pPr>
      <w:r>
        <w:rPr>
          <w:rFonts w:ascii="Times New Roman"/>
          <w:b w:val="false"/>
          <w:i w:val="false"/>
          <w:color w:val="000000"/>
          <w:sz w:val="28"/>
        </w:rPr>
        <w:t xml:space="preserve">
      Прогнозные показатели независимой оценки </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корпоративного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88</w:t>
            </w:r>
          </w:p>
        </w:tc>
      </w:tr>
    </w:tbl>
    <w:bookmarkStart w:name="z709" w:id="655"/>
    <w:p>
      <w:pPr>
        <w:spacing w:after="0"/>
        <w:ind w:left="0"/>
        <w:jc w:val="both"/>
      </w:pPr>
      <w:r>
        <w:rPr>
          <w:rFonts w:ascii="Times New Roman"/>
          <w:b w:val="false"/>
          <w:i w:val="false"/>
          <w:color w:val="000000"/>
          <w:sz w:val="28"/>
        </w:rPr>
        <w:t xml:space="preserve">
      Предусмотренные меры позволят улучшить качество корпоративного управления, как одного из важнейших факторов повышения оценочной стоимости Общества и ее конкурентоспособности на рынке. </w:t>
      </w:r>
    </w:p>
    <w:bookmarkEnd w:id="655"/>
    <w:bookmarkStart w:name="z710" w:id="656"/>
    <w:p>
      <w:pPr>
        <w:spacing w:after="0"/>
        <w:ind w:left="0"/>
        <w:jc w:val="both"/>
      </w:pPr>
      <w:r>
        <w:rPr>
          <w:rFonts w:ascii="Times New Roman"/>
          <w:b w:val="false"/>
          <w:i w:val="false"/>
          <w:color w:val="000000"/>
          <w:sz w:val="28"/>
        </w:rPr>
        <w:t>
      КПД № 10</w:t>
      </w:r>
    </w:p>
    <w:bookmarkEnd w:id="656"/>
    <w:bookmarkStart w:name="z711" w:id="657"/>
    <w:p>
      <w:pPr>
        <w:spacing w:after="0"/>
        <w:ind w:left="0"/>
        <w:jc w:val="both"/>
      </w:pPr>
      <w:r>
        <w:rPr>
          <w:rFonts w:ascii="Times New Roman"/>
          <w:b w:val="false"/>
          <w:i w:val="false"/>
          <w:color w:val="000000"/>
          <w:sz w:val="28"/>
        </w:rPr>
        <w:t>
      Показатель оптимизации потребления электрической энергии.</w:t>
      </w:r>
    </w:p>
    <w:bookmarkEnd w:id="657"/>
    <w:bookmarkStart w:name="z712" w:id="658"/>
    <w:p>
      <w:pPr>
        <w:spacing w:after="0"/>
        <w:ind w:left="0"/>
        <w:jc w:val="both"/>
      </w:pPr>
      <w:r>
        <w:rPr>
          <w:rFonts w:ascii="Times New Roman"/>
          <w:b w:val="false"/>
          <w:i w:val="false"/>
          <w:color w:val="000000"/>
          <w:sz w:val="28"/>
        </w:rPr>
        <w:t xml:space="preserve">
      Одними из ключевых операционных расходов Общества являются расходы на коммунальные услуги. Ввиду значительного объема площади объектов, роста загрузки и частоты проведения мероприятий рост расходов Общества на электроэнергию в прогнозируемый период будет только расти. Для снижения операционных затрат Обществу необходимо произвести обновление оборудования и модернизацию производств, ускорить темпы цифровизации производственных процессов и систематически внедрять передовые технологии. Данные меры позволят Обществу сократить потребление энергоресурсов, тем самым сократить затраты по их потреблению. </w:t>
      </w:r>
    </w:p>
    <w:bookmarkEnd w:id="658"/>
    <w:bookmarkStart w:name="z713" w:id="659"/>
    <w:p>
      <w:pPr>
        <w:spacing w:after="0"/>
        <w:ind w:left="0"/>
        <w:jc w:val="both"/>
      </w:pPr>
      <w:r>
        <w:rPr>
          <w:rFonts w:ascii="Times New Roman"/>
          <w:b w:val="false"/>
          <w:i w:val="false"/>
          <w:color w:val="000000"/>
          <w:sz w:val="28"/>
        </w:rPr>
        <w:t xml:space="preserve">
      КПД – оптимизация потребления электрической энергии позволяет оценить эффективность принятых мероприятий и дает базу для принятия решений о дальнейших шагах в области оптимизации электрической энергии. К 2034 году предполагается снижение общих расходов на ресурсы до 3 % (по соотношению с показателями 2023 года (72 361 452 кВТ) до начала внедрения мероприятий) путем внедрения мероприятий по оптимизации расхода электрической энергии. </w:t>
      </w:r>
    </w:p>
    <w:bookmarkEnd w:id="659"/>
    <w:bookmarkStart w:name="z714" w:id="660"/>
    <w:p>
      <w:pPr>
        <w:spacing w:after="0"/>
        <w:ind w:left="0"/>
        <w:jc w:val="both"/>
      </w:pPr>
      <w:r>
        <w:rPr>
          <w:rFonts w:ascii="Times New Roman"/>
          <w:b w:val="false"/>
          <w:i w:val="false"/>
          <w:color w:val="000000"/>
          <w:sz w:val="28"/>
        </w:rPr>
        <w:t>
      Основные направления и подходы к решению задачи – оптимизация потребления электрической энергии:</w:t>
      </w:r>
    </w:p>
    <w:bookmarkEnd w:id="660"/>
    <w:bookmarkStart w:name="z715" w:id="661"/>
    <w:p>
      <w:pPr>
        <w:spacing w:after="0"/>
        <w:ind w:left="0"/>
        <w:jc w:val="both"/>
      </w:pPr>
      <w:r>
        <w:rPr>
          <w:rFonts w:ascii="Times New Roman"/>
          <w:b w:val="false"/>
          <w:i w:val="false"/>
          <w:color w:val="000000"/>
          <w:sz w:val="28"/>
        </w:rPr>
        <w:t>
      1) использование современных систем управления и мониторинга для эффективного контроля над энергопотреблением;</w:t>
      </w:r>
    </w:p>
    <w:bookmarkEnd w:id="661"/>
    <w:bookmarkStart w:name="z716" w:id="662"/>
    <w:p>
      <w:pPr>
        <w:spacing w:after="0"/>
        <w:ind w:left="0"/>
        <w:jc w:val="both"/>
      </w:pPr>
      <w:r>
        <w:rPr>
          <w:rFonts w:ascii="Times New Roman"/>
          <w:b w:val="false"/>
          <w:i w:val="false"/>
          <w:color w:val="000000"/>
          <w:sz w:val="28"/>
        </w:rPr>
        <w:t>
      2) замена устаревшего оборудования на более современное и энергосберегающее;</w:t>
      </w:r>
    </w:p>
    <w:bookmarkEnd w:id="662"/>
    <w:bookmarkStart w:name="z717" w:id="663"/>
    <w:p>
      <w:pPr>
        <w:spacing w:after="0"/>
        <w:ind w:left="0"/>
        <w:jc w:val="both"/>
      </w:pPr>
      <w:r>
        <w:rPr>
          <w:rFonts w:ascii="Times New Roman"/>
          <w:b w:val="false"/>
          <w:i w:val="false"/>
          <w:color w:val="000000"/>
          <w:sz w:val="28"/>
        </w:rPr>
        <w:t>
      3) разработка и установка систем автоматизации, позволяющих точно регулировать потребление электроэнергии в зависимости от актуальных нужд;</w:t>
      </w:r>
    </w:p>
    <w:bookmarkEnd w:id="663"/>
    <w:bookmarkStart w:name="z718" w:id="664"/>
    <w:p>
      <w:pPr>
        <w:spacing w:after="0"/>
        <w:ind w:left="0"/>
        <w:jc w:val="both"/>
      </w:pPr>
      <w:r>
        <w:rPr>
          <w:rFonts w:ascii="Times New Roman"/>
          <w:b w:val="false"/>
          <w:i w:val="false"/>
          <w:color w:val="000000"/>
          <w:sz w:val="28"/>
        </w:rPr>
        <w:t xml:space="preserve">
      4) обучение сотрудников методам энергосбережения и рационального использования электроэнергии; </w:t>
      </w:r>
    </w:p>
    <w:bookmarkEnd w:id="664"/>
    <w:bookmarkStart w:name="z719" w:id="665"/>
    <w:p>
      <w:pPr>
        <w:spacing w:after="0"/>
        <w:ind w:left="0"/>
        <w:jc w:val="both"/>
      </w:pPr>
      <w:r>
        <w:rPr>
          <w:rFonts w:ascii="Times New Roman"/>
          <w:b w:val="false"/>
          <w:i w:val="false"/>
          <w:color w:val="000000"/>
          <w:sz w:val="28"/>
        </w:rPr>
        <w:t>
      5) регулярный мониторинг энергопотребления и анализ данных с целью выявления потенциальных областей оптимизации.</w:t>
      </w:r>
    </w:p>
    <w:bookmarkEnd w:id="665"/>
    <w:bookmarkStart w:name="z720" w:id="666"/>
    <w:p>
      <w:pPr>
        <w:spacing w:after="0"/>
        <w:ind w:left="0"/>
        <w:jc w:val="both"/>
      </w:pPr>
      <w:r>
        <w:rPr>
          <w:rFonts w:ascii="Times New Roman"/>
          <w:b w:val="false"/>
          <w:i w:val="false"/>
          <w:color w:val="000000"/>
          <w:sz w:val="28"/>
        </w:rPr>
        <w:t xml:space="preserve">
      Источники оценки КПД: фактический расход, подтвержденный энергоснабжающей организацией. </w:t>
      </w:r>
    </w:p>
    <w:bookmarkEnd w:id="666"/>
    <w:bookmarkStart w:name="z721" w:id="667"/>
    <w:p>
      <w:pPr>
        <w:spacing w:after="0"/>
        <w:ind w:left="0"/>
        <w:jc w:val="both"/>
      </w:pPr>
      <w:r>
        <w:rPr>
          <w:rFonts w:ascii="Times New Roman"/>
          <w:b w:val="false"/>
          <w:i w:val="false"/>
          <w:color w:val="000000"/>
          <w:sz w:val="28"/>
        </w:rPr>
        <w:t>
      Для достижения уменьшения потребления электрической энергии в Обществе разработан и утвержден План мероприятий по энергосбережению и повышению энергоэффективности АО "НК "QazExpoCongress" на 2024 – 2028 годы, согласно которому не предусмотрено дополнительных финансовых затрат.</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68"/>
          <w:p>
            <w:pPr>
              <w:spacing w:after="20"/>
              <w:ind w:left="20"/>
              <w:jc w:val="both"/>
            </w:pPr>
            <w:r>
              <w:rPr>
                <w:rFonts w:ascii="Times New Roman"/>
                <w:b w:val="false"/>
                <w:i w:val="false"/>
                <w:color w:val="000000"/>
                <w:sz w:val="20"/>
              </w:rPr>
              <w:t>
Код и номер</w:t>
            </w:r>
          </w:p>
          <w:bookmarkEnd w:id="668"/>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69"/>
          <w:p>
            <w:pPr>
              <w:spacing w:after="20"/>
              <w:ind w:left="20"/>
              <w:jc w:val="both"/>
            </w:pPr>
            <w:r>
              <w:rPr>
                <w:rFonts w:ascii="Times New Roman"/>
                <w:b w:val="false"/>
                <w:i w:val="false"/>
                <w:color w:val="000000"/>
                <w:sz w:val="20"/>
              </w:rPr>
              <w:t>
Мероприятия</w:t>
            </w:r>
          </w:p>
          <w:bookmarkEnd w:id="669"/>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расходы, млн.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 м планируемого снижения потребления энергетических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энергосбережения: Электроснабжение и освещение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границы балансовой и эксплуатационной ответственности, а также коммерческого учета электроэнергии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70"/>
          <w:p>
            <w:pPr>
              <w:spacing w:after="20"/>
              <w:ind w:left="20"/>
              <w:jc w:val="both"/>
            </w:pPr>
            <w:r>
              <w:rPr>
                <w:rFonts w:ascii="Times New Roman"/>
                <w:b w:val="false"/>
                <w:i w:val="false"/>
                <w:color w:val="000000"/>
                <w:sz w:val="20"/>
              </w:rPr>
              <w:t>
-</w:t>
            </w:r>
          </w:p>
          <w:bookmarkEnd w:id="670"/>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кВт*ч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71"/>
          <w:p>
            <w:pPr>
              <w:spacing w:after="20"/>
              <w:ind w:left="20"/>
              <w:jc w:val="both"/>
            </w:pPr>
            <w:r>
              <w:rPr>
                <w:rFonts w:ascii="Times New Roman"/>
                <w:b w:val="false"/>
                <w:i w:val="false"/>
                <w:color w:val="000000"/>
                <w:sz w:val="20"/>
              </w:rPr>
              <w:t>
-</w:t>
            </w:r>
          </w:p>
          <w:bookmarkEnd w:id="671"/>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кВт*ч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r>
    </w:tbl>
    <w:bookmarkStart w:name="z726" w:id="672"/>
    <w:p>
      <w:pPr>
        <w:spacing w:after="0"/>
        <w:ind w:left="0"/>
        <w:jc w:val="both"/>
      </w:pPr>
      <w:r>
        <w:rPr>
          <w:rFonts w:ascii="Times New Roman"/>
          <w:b w:val="false"/>
          <w:i w:val="false"/>
          <w:color w:val="000000"/>
          <w:sz w:val="28"/>
        </w:rPr>
        <w:t>
      КПД № 11</w:t>
      </w:r>
    </w:p>
    <w:bookmarkEnd w:id="672"/>
    <w:bookmarkStart w:name="z727" w:id="673"/>
    <w:p>
      <w:pPr>
        <w:spacing w:after="0"/>
        <w:ind w:left="0"/>
        <w:jc w:val="both"/>
      </w:pPr>
      <w:r>
        <w:rPr>
          <w:rFonts w:ascii="Times New Roman"/>
          <w:b w:val="false"/>
          <w:i w:val="false"/>
          <w:color w:val="000000"/>
          <w:sz w:val="28"/>
        </w:rPr>
        <w:t>
      Показатель внедрения водосберегающего оборудования</w:t>
      </w:r>
    </w:p>
    <w:bookmarkEnd w:id="673"/>
    <w:bookmarkStart w:name="z728" w:id="674"/>
    <w:p>
      <w:pPr>
        <w:spacing w:after="0"/>
        <w:ind w:left="0"/>
        <w:jc w:val="both"/>
      </w:pPr>
      <w:r>
        <w:rPr>
          <w:rFonts w:ascii="Times New Roman"/>
          <w:b w:val="false"/>
          <w:i w:val="false"/>
          <w:color w:val="000000"/>
          <w:sz w:val="28"/>
        </w:rPr>
        <w:t xml:space="preserve">
      К значительным операционным расходам Общества относятся расходы на коммунальные услуги. Ввиду значительного объема площади объектов, роста загрузки и частоты проведения мероприятий рост расходов Общества на потребление воды в прогнозируемый период будет только расти. Для снижения операционных затрат Обществу необходимо произвести обновление оборудования и модернизацию производств, ускорить темпы цифровизации производственных процессов и систематически внедрять передовые технологии. Данные меры позволят Обществу сократить потребление водных ресурсов, тем самым сократить затраты по их потреблению. </w:t>
      </w:r>
    </w:p>
    <w:bookmarkEnd w:id="674"/>
    <w:bookmarkStart w:name="z729" w:id="675"/>
    <w:p>
      <w:pPr>
        <w:spacing w:after="0"/>
        <w:ind w:left="0"/>
        <w:jc w:val="both"/>
      </w:pPr>
      <w:r>
        <w:rPr>
          <w:rFonts w:ascii="Times New Roman"/>
          <w:b w:val="false"/>
          <w:i w:val="false"/>
          <w:color w:val="000000"/>
          <w:sz w:val="28"/>
        </w:rPr>
        <w:t>
      Важно отметить, что на территории ЕХРО имеется резервуар объемом 100 кубических метров, который обеспечивает систему автоматического полива грунтовой водой. Наличие данного резервуара позволяет Обществу экономить воду, не прибегая к использованию технической и питьевой воды, что позволяет Обществу оптимизировать потребление водных ресурсов и обеспечивает двукратный ежедневный полив всей территории комплекса ЕХРО, которая составляет 25 гектаров.</w:t>
      </w:r>
    </w:p>
    <w:bookmarkEnd w:id="675"/>
    <w:bookmarkStart w:name="z730" w:id="676"/>
    <w:p>
      <w:pPr>
        <w:spacing w:after="0"/>
        <w:ind w:left="0"/>
        <w:jc w:val="both"/>
      </w:pPr>
      <w:r>
        <w:rPr>
          <w:rFonts w:ascii="Times New Roman"/>
          <w:b w:val="false"/>
          <w:i w:val="false"/>
          <w:color w:val="000000"/>
          <w:sz w:val="28"/>
        </w:rPr>
        <w:t>
      Дальнейшей мерой Общества по оптимизации потребления водных ресурсов является установка водосберегающего оборудования, что приведет к существенной экономии воды.</w:t>
      </w:r>
    </w:p>
    <w:bookmarkEnd w:id="676"/>
    <w:bookmarkStart w:name="z731" w:id="677"/>
    <w:p>
      <w:pPr>
        <w:spacing w:after="0"/>
        <w:ind w:left="0"/>
        <w:jc w:val="both"/>
      </w:pPr>
      <w:r>
        <w:rPr>
          <w:rFonts w:ascii="Times New Roman"/>
          <w:b w:val="false"/>
          <w:i w:val="false"/>
          <w:color w:val="000000"/>
          <w:sz w:val="28"/>
        </w:rPr>
        <w:t>
      К 2034 году предполагается полное 100 % внедрение водосберегающего оборудования на всех объектах Общества.</w:t>
      </w:r>
    </w:p>
    <w:bookmarkEnd w:id="677"/>
    <w:bookmarkStart w:name="z732" w:id="678"/>
    <w:p>
      <w:pPr>
        <w:spacing w:after="0"/>
        <w:ind w:left="0"/>
        <w:jc w:val="both"/>
      </w:pPr>
      <w:r>
        <w:rPr>
          <w:rFonts w:ascii="Times New Roman"/>
          <w:b w:val="false"/>
          <w:i w:val="false"/>
          <w:color w:val="000000"/>
          <w:sz w:val="28"/>
        </w:rPr>
        <w:t>
      Основные направления и подходы к решению задачи – внедрение водосберегающего оборудования:</w:t>
      </w:r>
    </w:p>
    <w:bookmarkEnd w:id="678"/>
    <w:bookmarkStart w:name="z733" w:id="679"/>
    <w:p>
      <w:pPr>
        <w:spacing w:after="0"/>
        <w:ind w:left="0"/>
        <w:jc w:val="both"/>
      </w:pPr>
      <w:r>
        <w:rPr>
          <w:rFonts w:ascii="Times New Roman"/>
          <w:b w:val="false"/>
          <w:i w:val="false"/>
          <w:color w:val="000000"/>
          <w:sz w:val="28"/>
        </w:rPr>
        <w:t>
      1) проведение детального анализа текущего водопотребления с целью выявления основных точек расхода;</w:t>
      </w:r>
    </w:p>
    <w:bookmarkEnd w:id="679"/>
    <w:bookmarkStart w:name="z734" w:id="680"/>
    <w:p>
      <w:pPr>
        <w:spacing w:after="0"/>
        <w:ind w:left="0"/>
        <w:jc w:val="both"/>
      </w:pPr>
      <w:r>
        <w:rPr>
          <w:rFonts w:ascii="Times New Roman"/>
          <w:b w:val="false"/>
          <w:i w:val="false"/>
          <w:color w:val="000000"/>
          <w:sz w:val="28"/>
        </w:rPr>
        <w:t>
      2) выбор и внедрение технологий, таких как смесители с низким расходом воды, интеллектуальные системы управления поливом и другие;</w:t>
      </w:r>
    </w:p>
    <w:bookmarkEnd w:id="680"/>
    <w:bookmarkStart w:name="z735" w:id="681"/>
    <w:p>
      <w:pPr>
        <w:spacing w:after="0"/>
        <w:ind w:left="0"/>
        <w:jc w:val="both"/>
      </w:pPr>
      <w:r>
        <w:rPr>
          <w:rFonts w:ascii="Times New Roman"/>
          <w:b w:val="false"/>
          <w:i w:val="false"/>
          <w:color w:val="000000"/>
          <w:sz w:val="28"/>
        </w:rPr>
        <w:t>
      3) установка систем мониторинга, которые позволят отслеживать и анализировать показатели водопотребления в режиме реального времени;</w:t>
      </w:r>
    </w:p>
    <w:bookmarkEnd w:id="681"/>
    <w:bookmarkStart w:name="z736" w:id="682"/>
    <w:p>
      <w:pPr>
        <w:spacing w:after="0"/>
        <w:ind w:left="0"/>
        <w:jc w:val="both"/>
      </w:pPr>
      <w:r>
        <w:rPr>
          <w:rFonts w:ascii="Times New Roman"/>
          <w:b w:val="false"/>
          <w:i w:val="false"/>
          <w:color w:val="000000"/>
          <w:sz w:val="28"/>
        </w:rPr>
        <w:t>
      4) регулярный мониторинг и анализ данных для измерения снижения потребления воды и эффективности использования новых технологий.</w:t>
      </w:r>
    </w:p>
    <w:bookmarkEnd w:id="682"/>
    <w:bookmarkStart w:name="z737" w:id="683"/>
    <w:p>
      <w:pPr>
        <w:spacing w:after="0"/>
        <w:ind w:left="0"/>
        <w:jc w:val="both"/>
      </w:pPr>
      <w:r>
        <w:rPr>
          <w:rFonts w:ascii="Times New Roman"/>
          <w:b w:val="false"/>
          <w:i w:val="false"/>
          <w:color w:val="000000"/>
          <w:sz w:val="28"/>
        </w:rPr>
        <w:t xml:space="preserve">
      Источники оценки КПД: утвержденный отчет по реализации Плана внедрения. </w:t>
      </w:r>
    </w:p>
    <w:bookmarkEnd w:id="683"/>
    <w:bookmarkStart w:name="z738" w:id="684"/>
    <w:p>
      <w:pPr>
        <w:spacing w:after="0"/>
        <w:ind w:left="0"/>
        <w:jc w:val="both"/>
      </w:pPr>
      <w:r>
        <w:rPr>
          <w:rFonts w:ascii="Times New Roman"/>
          <w:b w:val="false"/>
          <w:i w:val="false"/>
          <w:color w:val="000000"/>
          <w:sz w:val="28"/>
        </w:rPr>
        <w:t>
      Цель: полное внедрение водосберегающего оборудования к 2034 году.</w:t>
      </w:r>
    </w:p>
    <w:bookmarkEnd w:id="684"/>
    <w:bookmarkStart w:name="z739" w:id="685"/>
    <w:p>
      <w:pPr>
        <w:spacing w:after="0"/>
        <w:ind w:left="0"/>
        <w:jc w:val="both"/>
      </w:pPr>
      <w:r>
        <w:rPr>
          <w:rFonts w:ascii="Times New Roman"/>
          <w:b w:val="false"/>
          <w:i w:val="false"/>
          <w:color w:val="000000"/>
          <w:sz w:val="28"/>
        </w:rPr>
        <w:t>
      Действия: закуп сенсорных смесителей средней стоимостью от 50 тыс. тенге и выше за 1 шт. Для установки сенсорных смесителей на всех объектах в 2025 – 2034 годы необходимо закупить 400 шт.</w:t>
      </w:r>
    </w:p>
    <w:bookmarkEnd w:id="685"/>
    <w:bookmarkStart w:name="z740" w:id="686"/>
    <w:p>
      <w:pPr>
        <w:spacing w:after="0"/>
        <w:ind w:left="0"/>
        <w:jc w:val="both"/>
      </w:pPr>
      <w:r>
        <w:rPr>
          <w:rFonts w:ascii="Times New Roman"/>
          <w:b w:val="false"/>
          <w:i w:val="false"/>
          <w:color w:val="000000"/>
          <w:sz w:val="28"/>
        </w:rPr>
        <w:t>
      Вместе с тем объекты КЦ, МВЦ "EXPO", "В2.4" (коммерческий павильон) и другие объекты уже оснащены сенсорными смесителями.</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сенсорных смесителей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87"/>
          <w:p>
            <w:pPr>
              <w:spacing w:after="20"/>
              <w:ind w:left="20"/>
              <w:jc w:val="both"/>
            </w:pPr>
            <w:r>
              <w:rPr>
                <w:rFonts w:ascii="Times New Roman"/>
                <w:b w:val="false"/>
                <w:i w:val="false"/>
                <w:color w:val="000000"/>
                <w:sz w:val="20"/>
              </w:rPr>
              <w:t xml:space="preserve">
Финансовые затраты </w:t>
            </w:r>
          </w:p>
          <w:bookmarkEnd w:id="687"/>
          <w:p>
            <w:pPr>
              <w:spacing w:after="20"/>
              <w:ind w:left="20"/>
              <w:jc w:val="both"/>
            </w:pPr>
            <w:r>
              <w:rPr>
                <w:rFonts w:ascii="Times New Roman"/>
                <w:b w:val="false"/>
                <w:i w:val="false"/>
                <w:color w:val="000000"/>
                <w:sz w:val="20"/>
              </w:rPr>
              <w:t>
в млн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bookmarkStart w:name="z742" w:id="688"/>
    <w:p>
      <w:pPr>
        <w:spacing w:after="0"/>
        <w:ind w:left="0"/>
        <w:jc w:val="both"/>
      </w:pPr>
      <w:r>
        <w:rPr>
          <w:rFonts w:ascii="Times New Roman"/>
          <w:b w:val="false"/>
          <w:i w:val="false"/>
          <w:color w:val="000000"/>
          <w:sz w:val="28"/>
        </w:rPr>
        <w:t>
      * ежегодно +10% инфляция.</w:t>
      </w:r>
    </w:p>
    <w:bookmarkEnd w:id="688"/>
    <w:bookmarkStart w:name="z743" w:id="689"/>
    <w:p>
      <w:pPr>
        <w:spacing w:after="0"/>
        <w:ind w:left="0"/>
        <w:jc w:val="both"/>
      </w:pPr>
      <w:r>
        <w:rPr>
          <w:rFonts w:ascii="Times New Roman"/>
          <w:b w:val="false"/>
          <w:i w:val="false"/>
          <w:color w:val="000000"/>
          <w:sz w:val="28"/>
        </w:rPr>
        <w:t>
      _________________________</w:t>
      </w:r>
    </w:p>
    <w:bookmarkEnd w:id="6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