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1244" w14:textId="4ed1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2025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который вводится в действие с 16 марта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