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85e0" w14:textId="0e78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1999 года № 329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22 января 1999 года № 6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U990006_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структуре Правительства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утратил силу - постановлением Правительства РК от 22 июня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607 </w:t>
      </w:r>
      <w:r>
        <w:rPr>
          <w:rFonts w:ascii="Times New Roman"/>
          <w:b w:val="false"/>
          <w:i w:val="false"/>
          <w:color w:val="ff0000"/>
          <w:sz w:val="28"/>
        </w:rPr>
        <w:t xml:space="preserve">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- постановлением Правительства РК от 22 июня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607 </w:t>
      </w:r>
      <w:r>
        <w:rPr>
          <w:rFonts w:ascii="Times New Roman"/>
          <w:b w:val="false"/>
          <w:i w:val="false"/>
          <w:color w:val="ff0000"/>
          <w:sz w:val="28"/>
        </w:rPr>
        <w:t xml:space="preserve">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утратил силу - постановлением Правительства РК от 3 сентября 1999 г. N 1301 </w:t>
      </w:r>
      <w:r>
        <w:rPr>
          <w:rFonts w:ascii="Times New Roman"/>
          <w:b w:val="false"/>
          <w:i w:val="false"/>
          <w:color w:val="000000"/>
          <w:sz w:val="28"/>
        </w:rPr>
        <w:t xml:space="preserve">P991301_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