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c680" w14:textId="b0dc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некоторые законодательные акты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2003 года N 59-p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проекта Закона Республики Казахстан "О внесении изменений и дополнений в некоторые законодательные акты по вопросам разграничения полномочий между уровнями государственного управления"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Сарекенов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Кабидолла Зулкашевич        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  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Кабибулла Кабенович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Мутанов                    - первый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Галимкаир Мутанович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       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Садвакасович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Анварович             Агентства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Сисинбаев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Тагир Мусаевич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Ермуханович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 Каримович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Жанабекович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Даулбаев  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Кайзуллаевич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 Илеусизович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Кеменгерович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Гасал Гадильбекович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Избанов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Мухит Каримович    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Ильсияр Баймухамедович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спорту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работу по подготовке проекта Закона Республики Казахстан "О внесении изменений и дополнений в некоторые законодательные акты по вопросам разграничения полномочий между уровнями государственного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проект Закона, указанного в подпункте 1) пункта 2 настоящего распоряжения, и в срок до 1 декабря 2003 года внести его в установленном порядке в Правительство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