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09d1" w14:textId="5610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приведению системы действующего законодательства Республики Казахстан в соответствие с нормами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октября 2005 года N 287-p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   целях приведения системы действующего законодательства в соответствие с нормами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приведению системы действующего законодательства Республики Казахстан в соответствие с нормами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(далее - План).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2.   Руководителям государственных органов Республики Казахстан обеспечить реализацию мероприятий, предусмотренных Планом.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Руководителя Канцелярии Премьер-Министра Республики Казахстан Тлеубердина А.А.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</w:t>
      </w:r>
      <w:r>
        <w:rPr>
          <w:rFonts w:ascii="Times New Roman"/>
          <w:b/>
          <w:i w:val="false"/>
          <w:color w:val="000000"/>
          <w:sz w:val="28"/>
        </w:rPr>
        <w:t xml:space="preserve">« </w:t>
      </w:r>
      <w:r>
        <w:rPr>
          <w:rFonts w:ascii="Times New Roman"/>
          <w:b w:val="false"/>
          <w:i w:val="false"/>
          <w:color w:val="000000"/>
          <w:sz w:val="28"/>
        </w:rPr>
        <w:t xml:space="preserve">11 октября 2005 года N 287-p  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приведению системы действующего законодательства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в соответствие с нормами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Конституции Республики Казахстан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953"/>
        <w:gridCol w:w="2253"/>
        <w:gridCol w:w="2253"/>
        <w:gridCol w:w="30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исполнения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завершения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исполнители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46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проект Закона Республики Казахстан "О внесе-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изменений и дополнений в некоторые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вопросам приведения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действующего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Республики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нормами Конституции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Казахстан"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</w:tr>
      <w:tr>
        <w:trPr>
          <w:trHeight w:val="3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проект Конституционного 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дополнений в Конституционный закон Республики Казахстан "О 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и статусе судей Республики Казахстан"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проект Конституционного 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дополнений в некоторые конститу-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законы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приведения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действующего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нормами Конституции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Казахстан"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договоров, ратифи-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Республикой Казахстан,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 соответствия нормам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органы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расшифровка аббревиатур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 -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 -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 - Министерство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 - Верховный Суд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