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09d1" w14:textId="5610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приведению системы действующего законодательства Республики Казахстан в соответствие с нормами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октября 2005 года N 287-p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   целях приведения системы действующего законодательства в соответствие с нормами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по приведению системы действующего законодательства Республики Казахстан в соответствие с нормами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(далее - План).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2.   Руководителям государственных органов Республики Казахстан обеспечить реализацию мероприятий, предусмотренных Планом.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Руководителя Канцелярии Премьер-Министра Республики Казахстан Тлеубердина А.А.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</w:t>
      </w:r>
      <w:r>
        <w:rPr>
          <w:rFonts w:ascii="Times New Roman"/>
          <w:b/>
          <w:i w:val="false"/>
          <w:color w:val="000000"/>
          <w:sz w:val="28"/>
        </w:rPr>
        <w:t xml:space="preserve">« </w:t>
      </w:r>
      <w:r>
        <w:rPr>
          <w:rFonts w:ascii="Times New Roman"/>
          <w:b w:val="false"/>
          <w:i w:val="false"/>
          <w:color w:val="000000"/>
          <w:sz w:val="28"/>
        </w:rPr>
        <w:t xml:space="preserve">11 октября 2005 года N 287-p 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приведению системы действующего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соответствие с нормами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Конституции Республики Казахстан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953"/>
        <w:gridCol w:w="2253"/>
        <w:gridCol w:w="2253"/>
        <w:gridCol w:w="30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46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 Закона Республики Казахстан "О внесе-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изменений и дополнений в некоторые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вопросам приведения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нормами Конституции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 Конституционного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Конституционный закон Республики Казахстан "О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и статусе судей Республики Казахстан"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 Конституционного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некоторые 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законы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приведения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нормами Конституции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Казахстан"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договоров, ратифи-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Казахстан,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соответствия нормам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органы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расшифровка аббревиатур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 - Верховный Суд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