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291" w14:textId="3a16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координации деятельности заинтересованных государственных органов, национальных холдингов и компаний по развитию Щучинско-Боровской курортной зоны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2012 года № 127-р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по развитию Щучинско-Боровской курортной зоны в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координации деятельности по развитию Щучинско-Боровской курортной зоны в Акмолинской области (далее — рабочая группа),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осуществлять координацию деятельности заинтересованных государственных органов, национальных холдингов и компаний по качественному и своевременному выполнению мероприятий, предусмотренных планом мероприятий по развитию Щучинско-Боровской курортной зоны.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2012 года № 127-р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Рабочая группа</w:t>
      </w:r>
      <w:r>
        <w:br/>
      </w:r>
      <w:r>
        <w:rPr>
          <w:rFonts w:ascii="Times New Roman"/>
          <w:b/>
          <w:i w:val="false"/>
          <w:color w:val="000000"/>
        </w:rPr>
        <w:t>
для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заинтересованных государственных органов, национальных</w:t>
      </w:r>
      <w:r>
        <w:br/>
      </w:r>
      <w:r>
        <w:rPr>
          <w:rFonts w:ascii="Times New Roman"/>
          <w:b/>
          <w:i w:val="false"/>
          <w:color w:val="000000"/>
        </w:rPr>
        <w:t>
холдингов и компаний по развитию Щучинско-Боровской</w:t>
      </w:r>
      <w:r>
        <w:br/>
      </w:r>
      <w:r>
        <w:rPr>
          <w:rFonts w:ascii="Times New Roman"/>
          <w:b/>
          <w:i w:val="false"/>
          <w:color w:val="000000"/>
        </w:rPr>
        <w:t>
курортной зоны в Акмолинской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Рабочая группа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индустрии и новых технологий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вице-министра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 по должности начальника Главного управления пограничного контроля Пограничной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промышленности, транспорта и коммуникаций Министерства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агропромышленного комплекса, природных ресурсов, строительства и жилищно-коммунального хозяйства Министерства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«КазТрансОйл-Сервис»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