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ec48" w14:textId="23ae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14 января 2013 года "О Государственной образовательной накопительной системе"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2013 года № 24-р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2013 года «О Государственной образовательной накопительной системе»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С. Ахметов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 № 24-р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14 января 2013 года</w:t>
      </w:r>
      <w:r>
        <w:br/>
      </w:r>
      <w:r>
        <w:rPr>
          <w:rFonts w:ascii="Times New Roman"/>
          <w:b/>
          <w:i w:val="false"/>
          <w:color w:val="000000"/>
        </w:rPr>
        <w:t>
«О Государственной образовательной накопительной системе»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5324"/>
        <w:gridCol w:w="2958"/>
        <w:gridCol w:w="3401"/>
        <w:gridCol w:w="2219"/>
      </w:tblGrid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ответственный за исполнение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соглашения о сотрудничестве в сфере Государственной образовательной накопительной системы между банком-участником и оператором и Типового договора об образовательном накопительном вкладе между банком-участником и вкладчиком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МЭБП, НБ (по 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расчетов премии государства по образовательному накопительному вкладу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(созыв), МЭБП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оператора в сфере Государственной образовательной накопительной системы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МЭБП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типового Соглашения о сотрудничестве с организацией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образования и науки Республики Казахстан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