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1c02" w14:textId="2881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31 июля 2013 года № 119-р "О мерах по реализации законов Республики Казахстан от 4 июля 2013 года "О Национальной палате предпринимателей Республики Казахстан" и "О внесении изменений и дополнений в некоторые законодательные акты Республики Казахстан по вопросам Национальной палаты предпринимателей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ноября 2013 года № 179-р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31 июля 2013 года № 119-р «О мерах по реализации законов Республики Казахстан от 4 июля 2013 года «О Национальной палате предпринимателей Республики Казахстан» и «О внесении изменений и дополнений в некоторые законодательные акты Республики Казахстан по вопросам Национальной палаты предпринимателей Республики Казахстан»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Казахстан, принятие которых необходимо в целях реализации законов Республики Казахстан от 4 июля 2013 года </w:t>
      </w:r>
      <w:r>
        <w:rPr>
          <w:rFonts w:ascii="Times New Roman"/>
          <w:b w:val="false"/>
          <w:i w:val="false"/>
          <w:color w:val="000000"/>
          <w:sz w:val="28"/>
        </w:rPr>
        <w:t>«О Национальной палате предпринимателей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и дополнений в некоторые законодательные акты Республики Казахстан по вопросам Национальной палаты предпринимателей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>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2, 3, 4, 5 и 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6109"/>
        <w:gridCol w:w="2990"/>
        <w:gridCol w:w="2625"/>
        <w:gridCol w:w="1938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предельных размеров обязательных членских взносов в Национальную палату предпринимателей Республики Казахстан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2013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уплаты обязательных членских взносов в Национальную палату предпринимателей Республики Казахстан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2013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наложения вето Правительством Республики Казахстан на решения съезда Национальной палаты предпринимателей Республики Казахстан и его преодоления через согласительные процедуры 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2013 года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решения Правительства Республики Казахстан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 (созыв), МТЗСН, МНГ, МОН, МЭБП, МФ, МИНТ, МТК, КНБ (по согласованию)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2013 года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определения страны происхождения товара, составления и выдачи акта экспертизы о происхождении товара и оформления, удостоверения и выдачи сертификата о происхождении товара и признании утратившими силу некоторых решений Правительства Республики Казахстан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 (созыв), МРР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2014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».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8"/>
        <w:gridCol w:w="6760"/>
      </w:tblGrid>
      <w:tr>
        <w:trPr>
          <w:trHeight w:val="30" w:hRule="atLeast"/>
        </w:trPr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