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6518" w14:textId="2236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2015 года № 17-р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и правовых актов, принятие которых необходимо в целях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228,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