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7b96" w14:textId="6477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2022 года № 16-р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 следующие изменение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выработка рекомендаций по определению предельного объема внешнего долга квазигосударственного сектора, а также хеджированию новых займов в иностранной валюте субъектов квазигосударственного сектора в размере не менее 30 % от суммы займа в случае отсутствия валютной выручки;";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Комиссия вырабатывает рекомендации с учетом планов по обслуживанию займов, предоставляемых субъектами квазигосударственного сектора.".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