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6355" w14:textId="ca06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своде проектов бюджетов на 1995 г.</w:t>
      </w:r>
    </w:p>
    <w:p>
      <w:pPr>
        <w:spacing w:after="0"/>
        <w:ind w:left="0"/>
        <w:jc w:val="both"/>
      </w:pPr>
      <w:r>
        <w:rPr>
          <w:rFonts w:ascii="Times New Roman"/>
          <w:b w:val="false"/>
          <w:i w:val="false"/>
          <w:color w:val="000000"/>
          <w:sz w:val="28"/>
        </w:rPr>
        <w:t>Распоряжение Премьер-министра Республики Казахстан от 20 июля 1994 г. N 284-р</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17 декабря
1991 г. "О бюджетной системе Республики Казахстан" главам
областных, Алматинской и Ленинской городских администраций
представить в Министерство финансов Республики Казахстан свод
проектов бюджетов на 1995 год по форме, установленной Министерством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финансов Республики Казахстан, не позднее 20 августа текущего
года.
     Поручить Министерству финансов Республики Казахстан представить
от имени Правительства Республики Казахстан свод проекта бюджета
на 1995 год Верховному Совету Республики Казахстан не позднее 
5 сентября 1994 г.
Премьер-министр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