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9587" w14:textId="53a9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2008 года N 551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Письма-соглашения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сельского хозяйства Республики Казахстан Есимова Ахметжана Смагуловича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для финансирования проекта "Общественное управление и обеспечение устойчивой жизнедеятельности предприятий рыбного хозяйства Аральского моря".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Грант Фонда социального развития при Правительстве Японии (JSDF)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N TF056801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Стандартные условия; Определения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1.01.  </w:t>
      </w:r>
      <w:r>
        <w:rPr>
          <w:rFonts w:ascii="Times New Roman"/>
          <w:b w:val="false"/>
          <w:i/>
          <w:color w:val="000000"/>
          <w:sz w:val="28"/>
        </w:rPr>
        <w:t xml:space="preserve">Стандартные условия.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Стандартные условия для грантов, выплачиваемых Всемирным Банком из различных фондов, в редакции от 20 июля 2006 года (Стандартные условия), составляют неотъемлемую часть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1.02.  </w:t>
      </w:r>
      <w:r>
        <w:rPr>
          <w:rFonts w:ascii="Times New Roman"/>
          <w:b w:val="false"/>
          <w:i/>
          <w:color w:val="000000"/>
          <w:sz w:val="28"/>
        </w:rPr>
        <w:t xml:space="preserve">Определения.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из контекста не следует иное, обозначенные заглавными буквами термины, используемые в настоящем Соглашении, имеют соответствующие значения, закрепленные за ними Стандартными условиями или настоящим Соглашением.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Реализация Проекта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2.01.  </w:t>
      </w:r>
      <w:r>
        <w:rPr>
          <w:rFonts w:ascii="Times New Roman"/>
          <w:b w:val="false"/>
          <w:i/>
          <w:color w:val="000000"/>
          <w:sz w:val="28"/>
        </w:rPr>
        <w:t xml:space="preserve">Цели и описание Проекта.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 Проекта заключаются в улучшении жизненных условий незащищенных, изолированных рыболовецких сообществ в регионе Северного Аральского моря посредством развития местного потенциала, улучшения и обеспечения устойчивости управления существующей материальной базой, расширения предпринимательских возможностей и поддержки доступа к основным объектам и услугам социальной инфраструктуры. Данный Проект поддерживает Фазу I Проекта "Регулирование русла реки Сырдарья и Северного Аральского моря", финансируемого Всемирным Банком на основании Кредитного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(Займ N 4609 KZ) от 22 октября 2001 года между Республикой Казахстан и Международным Банком Реконструкции и Развития. Данный Проект состоит из следующих компонентов: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Часть А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Развитие потенциала для обеспечения устойчивой жизнедеятельности посредством улучшения управления существующей материальной базой.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составление планов местного развития, включая пилотный проект по усилению общественного контроля и повышению доступности к рыбным ресурсам одного озера; (b) расширение потенциала местных органов власти в части поддержки децентрализованного управления и обеспечения прозрачности процесса предоставления малых озер в обособленное пользование; (с) обучение работников рыболовецких бригад, рыболовных предприятий и должностных лиц, местных органов власти ключевым аспектам развития сообществ и техническим предметам, включая оценку ресурсов сообщества и принципы совместного управления ресурсами, малым бизнесом, реализации рыбной продукции, утилизации отходов, обеспечения безопасности судна, ремонта судна и технического обслуживания двигателя; и (d) разработка и полевые испытания учебных материалов по обработке и реализации рыбы, обеспечению безопасности судна, ремонту судна и техническому обслуживанию двигателя, управлению малым бизнесом и микрофинансированию, а также по оценке и совместному управлению ресурсами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Часть В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Местные инвестиции в улучшение жизненных условий и сокращение деградации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обеспечение отдаленных сел технической системой фильтрации воды, водоналивным судном и полноприводным автомобилем скорой помощи; (b) развитие строительства мобильных рыболовецких лагерей для улучшения состояния здоровья и бытовых условий рыболовов; (с) восстановление небольших отрезков непроходимых дорог и строительство понтонов для доставки рыбы на берег с целью расширения доступа к рынкам и увеличения пользы от грантового финансирования, а также улучшение мониторинга выгрузки рыбы на берег; (d) обеспечение радиотелефонной связью основных сел и рыболовецких лагерей, пилотное тестирование систем оборудования для обмена электронной почтой по каналам радио или спутниковой связи между тремя общинами, включая создание общинной радиопрограммы продолжительностью 1-2 часа в день; (е) пилотное тестирование эффективных дровяных печей для копчения рыбы и альтернативного отопления сел и рыболовецких лагерей (в частности, за счет использования сжиженного газа); (f) оснащение школ и детских садов оборудованием и мебелью, создание детских яслей; и (h) создание гостиниц для путешественников на железнодорожной станции Арал Тенизи в городе Аральске.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Часть С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Малые предприятия для диверсификации доходов и улучшения источников средств к существованию.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совершенствование системы распределения рыбы и модернизация существующей инфраструктуры холодильного хранения, льдогенераторов для контейнеров и крупных теплоизолированных холодильных камер для хранения рыбы, с тем, чтобы рыболовецкие бригады могли хранить рыбу в рыболовецких лагерях; (b) обучение обработке рыбы и формирование информационной службы для выдачи справок по вопросам реализации рыбы; (с) совершенствование технологии копчения (с использованием более экономичных дровяных или газовых печей) и формирование организаций по сбыту производимой продукции с целью повышения доходов и улучшения источников средств женщин реализаторов; и (d) выплата 400000 долларов США в форме конкурентных грантов (до 25 000 долларов США на каждое из, ориентировочно, 16 сообществ) на развитие малого бизнеса в соответствии с критериями, принципами и процедурами отбора, излагаемыми в Операционном руководстве по Проекту (ОРП), который должен будет составить и утвердить Получатель.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Часть D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Поддержка услуг по реализации, управлению, мониторингу и оценке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формирование потенциала и наем дополнительных сотрудников в "Арал Тенизи" - местной неправительственной организации, осуществляющей свою деятельность в регионе Аральского моря, которая будет осуществлять реализацию проектных мероприятий вместе с Группой Управления Проектом (ГУП), созданном при Комитете по водным ресурсам (КВР) Министерства сельского хозяйства Республики Казахстан в рамках Фазы I Проекта "Регулирование русла реки Сырдарья и Северного Аральского моря", финансируемого Всемирным Банком (Займ N 4609 KZ); (b) найм сельских активистов, которые будут вплотную работать с рыболовами и членами сообществ в рамках реализации проектных мероприятий; (с) обучение сотрудников "Арал Тенизи" и сельских активистов принципам управления проектом, управления ресурсами участников проекта, ведению счетов и учета, процедурам осуществления закупок на уровне села, и оценке сел с участием заинтересованных сторон; (d) разработка и реализация системы мониторинга и оценки; и (е) предоставление консультационных услуг, включая аудит Гранта.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2.02.  </w:t>
      </w:r>
      <w:r>
        <w:rPr>
          <w:rFonts w:ascii="Times New Roman"/>
          <w:b w:val="false"/>
          <w:i/>
          <w:color w:val="000000"/>
          <w:sz w:val="28"/>
        </w:rPr>
        <w:t xml:space="preserve">Общие условия реализации Проекта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Получатель заявляет о своей приверженности задачам Проекта. Получатель, в рамках финансируемого Всемирным Банком Проекта "Регулирование русла реки Сырдарья и Северного Аральского моря" (Займ N 4609 KZ) через ГУП КВР Министерства сельского хозяйства Республики Казахстан, обеспечит реализацию Проекта в соответствии с положениями Статьи II Стандартных условий и настоящей Статьи 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2.03.  </w:t>
      </w:r>
      <w:r>
        <w:rPr>
          <w:rFonts w:ascii="Times New Roman"/>
          <w:b w:val="false"/>
          <w:i/>
          <w:color w:val="000000"/>
          <w:sz w:val="28"/>
        </w:rPr>
        <w:t xml:space="preserve">Институциональные и иные меры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Получатель, через КВР, будет поддерживать ГУП вплоть до завершения Проекта посредством обеспечения кадрами, квалификация и компетенция которых соответствуют требованиям Всемирного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2.04. Получатель, через КВР, обеспечит: (а) чтобы ГУП отвечал за: (i) управление, реализацию, координацию и мониторинг Проекта, включая оценку и отчетность по Проекту; (ii) составление заявок на снятие средств Гранта; (iii) управление Специальным счетом Проекта; (iv) администрирование конкурентных грантов, предусматриваемых пунктом (d) Части С Раздела 2.01 настоящего Приложения; (v) закупку товаров, работ и услуг для Проекта; (vi) ведение связанной с Проектом учетной документации и счетов, организацию аудита; (vii) составление отчетов по Проекту и программы работ на год; и (b) реализацию проектных мероприятий силами ГУП в тесном сотрудничестве с НПО "Арал Тенизи" и сельскими активистами, которые будут наняты в рамках Части D Проекта, упоминаемой в Разделе 2.01 настоящего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2.05. Получатель, через КВР, обеспечит принятие всех надлежащих мер для реализации пункта (d) Части С Раздела 2.01 настоящего Приложения в соответствии с ОРП, и не будет передавать, вносить изменения, отменять или аннулировать любые положения ОРП без предварительного одобрения Всемирным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2.06. Получатель, через КВР, обеспечит: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отбор, экспертизу, реализацию и оценку предложений по подпроектам, предусматриваемым пунктом (d) Части С Раздела 2.01 настоящего Приложения, в соответствии с принципами, процедурами и критериями, излагаемыми в ОРП;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(b) предоставление Всемирному Банку права осуществлять рассмотрение предложений по подпроектам, предусматриваемым пунктом (d) Части С Раздела 2.01 настоящего Приложения, для назначения грантов в любой момент в процессе реализации Проекта; в случае несогласия с основаниями, применяемыми для одобрения или отклонения таких предложений по подпроектам, Всемирный Банк вправе требовать изменения результатов отбора;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(с) присуждение ГУПом субгрантов по подпроектам, предусматриваемым пунктом (d) Части С Раздела 2.01 настоящего Приложения, в соответствии с включенной в ОРП стандартной формой соглашений о Субгрантах, в которой: (i) в достаточном объеме описываются предложения по подпроектам для реализации выделенных субгрантов; (ii) получатели субгрантов должны будут реализовывать такие предложения по подпроектам в соответствии с описанием и в рамках бюджетов, указанных в соглашениях о субгрантах, и должны будут осуществлять закупку требуемых для реализации предложений по подпроектам товаров и услуг в соответствии с процедурами, излагаемыми в соглашении о субгранте; (iii) сумма каждого субгранта должна основываться на данных о расчетной себестоимости товаров, работ и услуг и операционных расходов, которые потребуются для подпроекта, и не должна превышать указанного в ОРП лимита по каждому субгранту; и (iv) использование подпроекта и распределение затрат, должны быть произведены получателем субгранта в отношении финансирования подпроекта, соответствовать требованиям, излагаемым в ОРП.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2.07.  </w:t>
      </w:r>
      <w:r>
        <w:rPr>
          <w:rFonts w:ascii="Times New Roman"/>
          <w:b w:val="false"/>
          <w:i/>
          <w:color w:val="000000"/>
          <w:sz w:val="28"/>
        </w:rPr>
        <w:t xml:space="preserve">Управление финансами. 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Получатель обеспечит работу системы управления финансами в соответствии с положениями Раздела 2.07 Стандартных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(b) Получатель обеспечит составление и направление во Всемирный Банк промежуточной непроверенной финансовой отчетности по Проекту в течение одного месяца с момента завершения каждого календарного квартала, причем каждый такой отчет должен охватывать соответствующий квартал, а форма и содержание такого отчета должны соответствовать требованиям Всемирного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(с) Получатель обеспечит аудиторскую проверку своих финансовых отчетов по Проекту в соответствии с положениями Раздела 2.07 (b) Стандартных условий. Аудиторская проверка финансовых отчетов должна охватывать период продолжительностью в один бюджетный год Получателя. Прошедшие аудиторскую проверку финансовые отчеты должны направляться во Всемирный Банк в течение шести месяцев с момента завершения соответствующего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2.08.  </w:t>
      </w:r>
      <w:r>
        <w:rPr>
          <w:rFonts w:ascii="Times New Roman"/>
          <w:b w:val="false"/>
          <w:i/>
          <w:color w:val="000000"/>
          <w:sz w:val="28"/>
        </w:rPr>
        <w:t xml:space="preserve">Закупки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Общие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Все необходимые для реализации Проекта товары, работы и услуги, которые должны финансироваться из средств Гранта, закупаются в соответствии с требованиями, изложенными или упомянутыми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 Разделе I "Руководства по закупкам в рамках займов МБРР и кредитов MAP", опубликованного Всемирным Банком в мае 2004 года и пересмотренного в октябре 2006 года (Руководство по закупкам) - в случае закупки товаров и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(ii) Разделах I и IV "Руководства по отбору и найму консультантов заемщиками Всемирного Банка", опубликованного в мае 2004 года и пересмотренного в октябре 2006 года (Руководство по отбору консультантов) в случае найма консультантов;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(iii) Положениях настоящего Раздела, которые могут быть конкретизированы в плане закупок, составляемом и периодически обновляемом Получателем по данному Проекту в соответствии с пунктом 1.16 Руководства по закупкам и пунктом 1.24 Руководства по отбору консультантов (План закупок).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(b)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Определения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Термины, которые обозначены заглавными буквами и используются в следующих пунктах настоящего Раздела для описания частных методов закупок или методов рассмотрения Всемирным Банком отдельных контрактов, относятся к соответствующим методам, описываемым в Руководстве по закупкам или Руководстве по отбору консультантов, в зависимости от каждого конкретного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(c)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Частные методы закупки товаров и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 Если иное не предусмотрено нижеследующим подпунктом (ii), закупка товаров и работ будет производиться по контрактам, заключаемых на основании результатов Международных конкурсных торгов.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(ii) Помимо Международных конкурсных торгов, для закупки товаров и работ по контрактам, указанным в Плане закупок, могут применяться следующие методы: (А) Ограниченные международные торги; (В) Национальные конкурсные торги, на которые распространяется действие следующих дополнительных положений: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Участие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предприятия Республики Казахстан допускаются к участию в торгах лишь в том случае, если они могут подтвердить свою юридическую и финансовую независимость, действуют на основании торгового права, и не являются зависимыми агентствами заказчика. Кроме этого, к ним будут применяться те же требования в отношении заявок и обеспечения, что и к другим участникам торгов.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II.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Тендерная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Закупающие организации обязаны использовать соответствующую типовую тендерную документацию при закупке товаров, отвечающих требованиям МБРР.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III.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Вскрытие и оценка заявок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Вскрытие заявок производится публично, сразу же после наступления крайнего срока подачи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Оценка заявок производится со строгим соблюдением заявленных в тендерной документации критериев, измеримых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Не допускается предпочтение отечественных товаров и подрядчиков;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Контракт заключается с квалифицированным участником, представившим отвечающую установленным требованиям заявку с наименьшей стоимостью, переговоры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IV.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Корректировка цены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Контракты на строительные работы на длительный срок (например, продолжительностью более восемнадцати (18) месяцев) должны включать соответствующий пункт о корректировке цены.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V.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Аннулирование процесса подачи заявок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Непризнание результатов тендера и принятие новых заявок могут производиться лишь по предварительному согласованию с Ассоциацией.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VI.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Отклонение индивидуальной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Индивидуальная заявка отклоняется лишь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Заявитель не отвечает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Заявитель не принимает исправление арифметической ошибки в заявке, на которую указывает Тендерная комиссия закупающей организации;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Заявитель не отвечает требованиям тендерной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(С) Закупки в свободной торговле; и (D) Прямое заключение контрактов.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(d)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Частные методы закупки услуг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 Если иное не предусмотрено нижеследующим подпунктом (ii), закупка услуг консультантов будет производиться на основании контрактов, заключаемых по результатам отбора консультантов по критериям качества и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Для закупки услуг консультантов, привлекаемых к выполнению заданий, указанных в Плане закупок, могут применяться следующие методы: (А) Отбор по критерию наименьшей стоимости; (В) Отбор индивидуальных консультантов; и (С) Процедуры отбора индивидуальных консультантов из одного источника.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(e)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Рассмотрение Всемирным Банком решений по закупкам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Плане закупок должны быть указаны те контракты, которые являются предметом предварительного рассмотрения Всемирным Банком. Остальные контракты являются предметом последующего рассмотрения (по факту) Всемирным Банком.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III </w:t>
      </w:r>
      <w:r>
        <w:br/>
      </w:r>
      <w:r>
        <w:rPr>
          <w:rFonts w:ascii="Times New Roman"/>
          <w:b/>
          <w:i w:val="false"/>
          <w:color w:val="000000"/>
        </w:rPr>
        <w:t xml:space="preserve">
Снятие средств Гранта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3.01  </w:t>
      </w:r>
      <w:r>
        <w:rPr>
          <w:rFonts w:ascii="Times New Roman"/>
          <w:b w:val="false"/>
          <w:i/>
          <w:color w:val="000000"/>
          <w:sz w:val="28"/>
        </w:rPr>
        <w:t xml:space="preserve">Допустимые расходы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Получатель может производить выборку средств Гранта в соответствии с положениями: (а) Статьи III Стандартных условий; (b) настоящего Раздела; и (с) дополнительных инструкций, которые Всемирный Банк может давать посредством уведомления Получателя (включая "Руководство Всемирного Банка по осуществлению выплат по проектам" в редакции, датированной маем 2006 года, периодически пересматриваемой Всемирным банком и применимой к настоящему Соглашению на основании таких инструкций) для финансирования удовлетворяющих критериям расходов, изложенных в следующей таблице. В таблице представлены Категории расходов, которые могут финансироваться из средств Гранта (Категории), размеры выделяемых на каждую категорию ассигнований из средств Гранта, а также процентные доли расходов, подлежащих финансированию в качестве удовлетворяющих критериям расходов по каждой Категории: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4"/>
        <w:gridCol w:w="4336"/>
        <w:gridCol w:w="4180"/>
      </w:tblGrid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выделенного Гранта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долларах США) 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 (%) расходов,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подлежащих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финансированию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(включая налоги) 
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 Товары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645500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Работы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 Услуги консультантов,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аудит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587285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 Субгранты,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предусматриваемые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(d) Части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2.01 Приложения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настоящему Соглашению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Обучение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124500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1902285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Для целей настоящего Раздела термин "обучение" означает обучение, проводимое на территории страны Получателя, включая покупку и публикацию материалов, аренду помещений, оплату учебных курсов, а также командировочные и суточные расходы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3.02.  </w:t>
      </w:r>
      <w:r>
        <w:rPr>
          <w:rFonts w:ascii="Times New Roman"/>
          <w:b w:val="false"/>
          <w:i/>
          <w:color w:val="000000"/>
          <w:sz w:val="28"/>
        </w:rPr>
        <w:t xml:space="preserve">Условия снятия средств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Несмотря на положения Раздела 3.01 настоящего Соглашения, не допускается снятие средств со Счета Гранта: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для финансирования платежей, произведенных до даты подписания Получателем настоящего Соглашения;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(b) для финансирования платежей Категории (4) по субгрантам, предусматриваемым пунктом (d) Части С Раздела 2.01 настоящего Приложения, в том случае, если: (i) Получателем не будет принято удовлетворяющее требованиям Всемирного Банка ОРП, содержащее инструкции по осуществлению предварительной экологической проверки подпроектов, предусматриваемых пунктом (d) Части С Раздела 2.01 настоящего Приложения; и (ii) между Получателем и бенефициаром субгранта, предусматриваемого пунктом (d) Части С Раздела 2.01 настоящего Приложения, не будет подписано соглашение о субгранте, удовлетворяющее требованиям Всемирного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3.03.  </w:t>
      </w:r>
      <w:r>
        <w:rPr>
          <w:rFonts w:ascii="Times New Roman"/>
          <w:b w:val="false"/>
          <w:i/>
          <w:color w:val="000000"/>
          <w:sz w:val="28"/>
        </w:rPr>
        <w:t xml:space="preserve">Период снятия средств со Счета Гранта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закрытия, на которую ссылается пункт (с) Раздела 3.06 Стандартных условий, наступает через четыре года с момента подписания Получателем настоящего Соглашения.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IV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Представитель Получателя; Адреса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4.01.  </w:t>
      </w:r>
      <w:r>
        <w:rPr>
          <w:rFonts w:ascii="Times New Roman"/>
          <w:b w:val="false"/>
          <w:i/>
          <w:color w:val="000000"/>
          <w:sz w:val="28"/>
        </w:rPr>
        <w:t xml:space="preserve">Представитель Получателя.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Представителем Получателя, на которого ссылается Раздел 7.02 Стандартных условий, является Министерство сельского хозяйства страны 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4.02.  </w:t>
      </w:r>
      <w:r>
        <w:rPr>
          <w:rFonts w:ascii="Times New Roman"/>
          <w:b w:val="false"/>
          <w:i/>
          <w:color w:val="000000"/>
          <w:sz w:val="28"/>
        </w:rPr>
        <w:t xml:space="preserve">Адрес Получателя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Получателя, на который ссылается Раздел 7.01 Стандартных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Кенесары,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Астана, 010000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Факс: (7) (3172) 555995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4.03.  </w:t>
      </w:r>
      <w:r>
        <w:rPr>
          <w:rFonts w:ascii="Times New Roman"/>
          <w:b w:val="false"/>
          <w:i/>
          <w:color w:val="000000"/>
          <w:sz w:val="28"/>
        </w:rPr>
        <w:t xml:space="preserve">Адрес Всемирного Банка.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Всемирного Банка, на который ссылается Раздел 7.01 Стандартных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Международный Банк Реконструкции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 Н, 1818, N.W.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Вашингтон, округ Колумбия, 20433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Соединенные Штаты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Телеграф:           Телекс:               Факс: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INTBAFRAD           248423 (MCI) или      1-202-477-6391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Washington, D.C.    64145 (MCI)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