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4ec" w14:textId="c36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 выделении гранта для финансирования проекта укрепления потенциала аудита 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2010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Письма-соглашения между Республикой Казахстан и Международным Банком Реконструкции и Развития о выделении гранта для финансирования проекта укрепления потенциала аудита 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Счетного комитета по контролю за исполнением республиканского бюджета Оксикбаева Омархана Нуртаевича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для финансирования проекта укрепления потенциала аудита государственного сектора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Назарбасв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№ 935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Грант фонда Всемирного Банка по институциональному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ФИР N TF094540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  <w:r>
        <w:br/>
      </w:r>
      <w:r>
        <w:rPr>
          <w:rFonts w:ascii="Times New Roman"/>
          <w:b/>
          <w:i w:val="false"/>
          <w:color w:val="000000"/>
        </w:rPr>
        <w:t>
Стандартные условия; Определения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1.01. </w:t>
      </w:r>
      <w:r>
        <w:rPr>
          <w:rFonts w:ascii="Times New Roman"/>
          <w:b w:val="false"/>
          <w:i/>
          <w:color w:val="000000"/>
          <w:sz w:val="28"/>
        </w:rPr>
        <w:t>Стандартные условия.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Стандартные условия для грантов, выплачиваемых Всемирным Банком из различных фондов, в редакции от 1 июля 2008 года (Стандартные условия), составляют неотъемлемую часть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1.02. </w:t>
      </w:r>
      <w:r>
        <w:rPr>
          <w:rFonts w:ascii="Times New Roman"/>
          <w:b w:val="false"/>
          <w:i/>
          <w:color w:val="000000"/>
          <w:sz w:val="28"/>
        </w:rPr>
        <w:t>Определения.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из контекста не следует иное, обозначенные заглавными буквами термины, используемые в настоящем Соглашении, имеют соответствующие значения, закрепленные за ними Стандартными условиями или настоящим Соглашением.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  <w:r>
        <w:br/>
      </w:r>
      <w:r>
        <w:rPr>
          <w:rFonts w:ascii="Times New Roman"/>
          <w:b/>
          <w:i w:val="false"/>
          <w:color w:val="000000"/>
        </w:rPr>
        <w:t>
Реализация Проекта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2.01. </w:t>
      </w:r>
      <w:r>
        <w:rPr>
          <w:rFonts w:ascii="Times New Roman"/>
          <w:b w:val="false"/>
          <w:i/>
          <w:color w:val="000000"/>
          <w:sz w:val="28"/>
        </w:rPr>
        <w:t>Цели и описание Проекта.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 Проекта заключаются в поддержке укрепления правовой и институциональной базы, усилении потенциала Счетного комитета в исполнении установленных функций, предусмотренных национальным законодательством Республики Казахстан, и в соответствии с Руководством международных стандартов Международной организации высших органов финансового контроля (ИНТОСАИ). Проект состоит из следующих компонентов: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Часть 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Правовая и институциональная база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консалтинговых услуг, как в виде отдельных контрактов, так и в виде соглашений партнерского взаимодействия: (i) проведение обзора организации Счетного комитета, включая его правовую и институциональную базу; (ii) подготовка плана институционального развития; (iii) разработка руководств и методологий по аудиту, предоставляющих основу для проведения аудита финансовой отчетности и аудита эффективности в соответствии с международной практикой; и (iv) проведение пилотных аудиторских проверок, экспертной оценки и оценки отчетов об исполнении бюджета, как часть тестирования в условиях использования методологической базы и руководств, разработанных для внешнего аудита.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Проведение тренингов и семинаров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товаров, консалтинговых услуг и обучения для повышения потенциала Счетного комитета по проведению тренинга в дальнейшем собственными силами, включая обучение преподавателей; внутренние обучающие семинары; учебные поездки, по необходимости, с целью развития навыков аудиторов Счетного комитета и руководителей в области финансового аудита и аудита результатов деятельности, с использованием лучшей международной практики.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2.02. </w:t>
      </w:r>
      <w:r>
        <w:rPr>
          <w:rFonts w:ascii="Times New Roman"/>
          <w:b w:val="false"/>
          <w:i/>
          <w:color w:val="000000"/>
          <w:sz w:val="28"/>
        </w:rPr>
        <w:t>Общие условия реализации Проекта.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Получатель заявляет о своей приверженности целям Проекта. С этой целью Получатель обеспечит реализацию Проекта в соответствии с положениями: (а) Статьи II Стандартных условий; (b) Руководства по предотвращению и борьбе с мошенничеством и коррупцией в проектах, финансируемых из займов МБРР и кредитов и грантов MAP, в редакции от 15 октября 2006 года; (с) и настоящей Статьи II.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2.03. </w:t>
      </w:r>
      <w:r>
        <w:rPr>
          <w:rFonts w:ascii="Times New Roman"/>
          <w:b w:val="false"/>
          <w:i/>
          <w:color w:val="000000"/>
          <w:sz w:val="28"/>
        </w:rPr>
        <w:t>Мониторинг, отчетность и оценка по Проекту.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обеспечивает мониторинг и оценку хода Проекта и по запросу Всемирного Банка подготовит Отчеты по проекту в соответствии с положениями Раздела 2.06 Стандартных условий и на основе показателей, изложенных в пункте (b) данного Раздела. Каждый Отчет по проекту должен охватывать период, указанный в запросе Всемирного Банка и предоставлен во Всемирный Банк не позднее одного месяца после даты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Показатели эффективности, упомянутые в пункте (а) настоящего Раздела включают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Проект закона по внешнему аудиту, одобренный Счетным комитетом и представленный в Парламент.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Подготовленный и одобренный Счетным комитетом план институционального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Институциональную структуру, установленную в соответствии с национальным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(iv) Методологию и руководства по аудиту, разработанные, принятые Счетным комитетом и впоследствии реализованные.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(v) обученными и наделенными соответствующими аудиторскими навыками Аудиторов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(vi) Успешно проведенные совместные пилотные аудиторские проверки, по крайней мере, в двух бюджетных организациях, получающих существенное финансирование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Получатель обеспечивает по запросу Всемирного Банка подготовку Отчета о завершении Проекта в соответствии с положениями Раздела 2.06 Стандартных условий. Отчет о завершении Проекта должен быть предоставлен во Всемирный Банк не позднее пяти месяцев после Даты закрытия.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2.04. </w:t>
      </w:r>
      <w:r>
        <w:rPr>
          <w:rFonts w:ascii="Times New Roman"/>
          <w:b w:val="false"/>
          <w:i/>
          <w:color w:val="000000"/>
          <w:sz w:val="28"/>
        </w:rPr>
        <w:t>Управление финансами.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обеспечивает работу системы управления финансами в соответствии с положениями Раздела 2.07 Стандартных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Получатель обеспечивает составление и направление во Всемирный Банк промежуточной непроверенной финансовой отчетности по Проекту в течение одного месяца с момента завершения каждого календарного квартала, причем каждый такой отчет должен охватывать соответствующий квартал, а форма и содержание такого отчета должны соответствовать требованиям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Получатель обеспечивает аудиторскую проверку своих финансовых отчетов по Проекту в соответствии с положениями Раздела 2.07 (b) Стандартных условий. Аудиторская проверка финансовых отчетов должна охватывать весь период в течение которого производилось снятие средств со счета Гранта. Прошедшие аудиторскую проверку финансовые отчеты должны направляться во Всемирный Банк не позднее шести месяцев с момента завершения соответствующего периода.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2.05. </w:t>
      </w:r>
      <w:r>
        <w:rPr>
          <w:rFonts w:ascii="Times New Roman"/>
          <w:b w:val="false"/>
          <w:i/>
          <w:color w:val="000000"/>
          <w:sz w:val="28"/>
        </w:rPr>
        <w:t>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rPr>
          <w:rFonts w:ascii="Times New Roman"/>
          <w:b w:val="false"/>
          <w:i w:val="false"/>
          <w:color w:val="000000"/>
          <w:sz w:val="28"/>
        </w:rPr>
        <w:t>: Все необходимые для реализации Проекта товары и услуги, финансируемые из средств Гранта, закупаются в соответствии с требованиями, изложенными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Разделе I (за исключением пункта 1.16) "Руководства по закупкам в рамках займов МБРР и кредитов MAP", опубликованного Всемирным Банком в мае 2004 года, и пересмотренного в октябре 2006 ("Руководство по закупкам") в случае закупки товаров;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Разделах I (за исключением пункта 1.24) и IV "Руководства по отбору и найму консультантов заемщиками Всемирного Банка", опубликованного в мае 2004 года и пересмотренного в октябре 2006 года (Руководство по отбору консультантов) в случае привлечения консалтинговых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Определения</w:t>
      </w:r>
      <w:r>
        <w:rPr>
          <w:rFonts w:ascii="Times New Roman"/>
          <w:b w:val="false"/>
          <w:i w:val="false"/>
          <w:color w:val="000000"/>
          <w:sz w:val="28"/>
        </w:rPr>
        <w:t>. Термины, которые обозначены заглавными буквами и используются в следующих пунктах настоящего Раздела для описания частных методов закупок или методов рассмотрения Всемирным Банком отдельных контрактов, относятся к соответствующим методам, описываемым в Руководстве по закупкам или Руководстве по отбору консультантов, в зависимости от каждого конкретного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Частные методы закупки товаров</w:t>
      </w:r>
      <w:r>
        <w:rPr>
          <w:rFonts w:ascii="Times New Roman"/>
          <w:b w:val="false"/>
          <w:i w:val="false"/>
          <w:color w:val="000000"/>
          <w:sz w:val="28"/>
        </w:rPr>
        <w:t>. Закупка товаров производится на основании контрактов, заключаемых по результатам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Частные методы закупки консалтинговых услуг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Если иное не предусмотрено нижеследующим подпунктом (ii), закупка услуг консультантов производится на основании контрактов, заключаемых по результатам отбора консультантов на основе качества и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Для закупки услуг консультантов, привлекаемых к выполнению заданий, согласованных Всемирным Банком как отвечающим требованиям, указанных в Руководстве по отбору консультантов, могут применяться следующие методы: (А) Отбор на основе фиксированного бюджета; (В) Отбор на основе наименьшей стоимости; (С) Отбор на основе квалификации; (D) Отбор из одного источника; (Е) Отбор индивидуальных консультантов; и (F) Процедуры отбора индивидуальных консультантов из одного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Всемирным Банком решений по закупкам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. Следующие контракты являются предметом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предварительного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Всемирным Банком, если ничто иное не будет сообщено посредством уведомления Получателю Всемирным Банком: (а) первый контракт по каждому методу закупок; (b) каждый контракт на закупку товаров на сумму эквивалентную 10 000 долларов США и больше; (с) каждый контракт на закупку консалтинговых услуг фирмами на сумму 30 000 долларов США и больше; (d) каждый контракт на услуги индивидуальных консультантов, на сумму эквивалентную 15 000 долларов США и больше. В дополнение, технические задания для консультантов, независимо от стоимости задания, подлежат предварительному рассмотрению Всемирным Банком. Остальные контракты являются предметом последующего рассмотрения Всемирным Банком.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  <w:r>
        <w:br/>
      </w:r>
      <w:r>
        <w:rPr>
          <w:rFonts w:ascii="Times New Roman"/>
          <w:b/>
          <w:i w:val="false"/>
          <w:color w:val="000000"/>
        </w:rPr>
        <w:t>
Снятие средств Гранта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3.01 </w:t>
      </w:r>
      <w:r>
        <w:rPr>
          <w:rFonts w:ascii="Times New Roman"/>
          <w:b w:val="false"/>
          <w:i/>
          <w:color w:val="000000"/>
          <w:sz w:val="28"/>
        </w:rPr>
        <w:t>Допустимые расходы.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Получатель может производить выборку средств Гранта в соответствии с положениями: (а) Статьи III Стандартных условий; (b) настоящего Раздела; и (с) дополнительных инструкций, которые Всемирный Банк может давать посредством уведомления Получателя (включая "Руководство Всемирного Банка по осуществлению выплат по проектам" в редакции, датированной маем 2006 года, периодически пересматриваемой Всемирным Банком и применимой к настоящему Соглашению на основании таких инструкций) для финансирования удовлетворяющих критериям расходов, изложенных в следующей таблице. В таблице представлены категории расходов, которые могут финансироваться из средств Гранта (Категории), размеры выделяемых на каждую категорию ассигнований из средств Гранта, а также процентные доли расходов, подлежащих финансированию в качестве удовлетворяющих критериям расходов по каждой Категории: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593"/>
        <w:gridCol w:w="501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(%)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налоги)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аудит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Раздела термин "обучение" подразумевает стажировки и обучающие поездки, связанные с проектом, учебные курсы, конференции, семинары и другие мероприятия, которые не включены в контракты поставщиков товаров и услуг, в том числе стоимость учебных материалов, аренда помещения и оборудования, поездки, командировочные и суточные расходы обучающихся и преподавателей, оплата преподавателей, а также услуги устного и письменного перевода.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3.02. </w:t>
      </w:r>
      <w:r>
        <w:rPr>
          <w:rFonts w:ascii="Times New Roman"/>
          <w:b w:val="false"/>
          <w:i/>
          <w:color w:val="000000"/>
          <w:sz w:val="28"/>
        </w:rPr>
        <w:t>Условия снятия средств.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Несмотря на положения Раздела 3.01 настоящего Соглашения, не допускается снятие средств со счета Гранта для финансирования платежей, произведенных до даты подписания Получателем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3.03. </w:t>
      </w:r>
      <w:r>
        <w:rPr>
          <w:rFonts w:ascii="Times New Roman"/>
          <w:b w:val="false"/>
          <w:i/>
          <w:color w:val="000000"/>
          <w:sz w:val="28"/>
        </w:rPr>
        <w:t>Период снятия средств со счета Гранта.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закрытия, на которую ссылается пункт (с) Раздела 3.06 Стандартных условий, наступает через три года с момента подписания Получателем настоящего Соглашения.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  <w:r>
        <w:br/>
      </w:r>
      <w:r>
        <w:rPr>
          <w:rFonts w:ascii="Times New Roman"/>
          <w:b/>
          <w:i w:val="false"/>
          <w:color w:val="000000"/>
        </w:rPr>
        <w:t>
Представитель Получателя; Адреса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4.01. </w:t>
      </w:r>
      <w:r>
        <w:rPr>
          <w:rFonts w:ascii="Times New Roman"/>
          <w:b w:val="false"/>
          <w:i/>
          <w:color w:val="000000"/>
          <w:sz w:val="28"/>
        </w:rPr>
        <w:t>Представитель Получателя.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Представителем Получателя, на которого ссылается Раздел 7.02 Стандартных условий, является Председатель Счетного комитета по контролю за исполнением республиканского бюджета.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4.02. </w:t>
      </w:r>
      <w:r>
        <w:rPr>
          <w:rFonts w:ascii="Times New Roman"/>
          <w:b w:val="false"/>
          <w:i/>
          <w:color w:val="000000"/>
          <w:sz w:val="28"/>
        </w:rPr>
        <w:t>Адрес Получателя.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Получателя, на который ссылается Раздел 7.01 Стандартных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улица Орынбор, 8, Дом министерств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Астана,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Телефон: 7) (7172) 74-16-02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Факс: (7) (7172) 74-21-14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4.03. </w:t>
      </w:r>
      <w:r>
        <w:rPr>
          <w:rFonts w:ascii="Times New Roman"/>
          <w:b w:val="false"/>
          <w:i/>
          <w:color w:val="000000"/>
          <w:sz w:val="28"/>
        </w:rPr>
        <w:t>Адрес Всемирного Банка.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Всемирного Банка, на который ссылается Раздел 7.01 Стандартных условий: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улица Н 1818, N.W.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Вашингтон, округ Колумбия, 20433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Телеграф:              Телекс: 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INTBAFRAD           248423(МСI) или      1-202-477-6391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Washington, D.C.     64145 (MCI)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