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9e11" w14:textId="7a1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сентября 2010 года №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Письма-соглашения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1073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ПИСЬМО-СОГЛАШЕНИЕ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Международным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о выделении гранта Фонда Всемирного банка по</w:t>
      </w:r>
      <w:r>
        <w:br/>
      </w:r>
      <w:r>
        <w:rPr>
          <w:rFonts w:ascii="Times New Roman"/>
          <w:b/>
          <w:i w:val="false"/>
          <w:color w:val="000000"/>
        </w:rPr>
        <w:t>
институциональному развитию "Укрепление потенциала</w:t>
      </w:r>
      <w:r>
        <w:br/>
      </w:r>
      <w:r>
        <w:rPr>
          <w:rFonts w:ascii="Times New Roman"/>
          <w:b/>
          <w:i w:val="false"/>
          <w:color w:val="000000"/>
        </w:rPr>
        <w:t>
ведомства по проведению аудита закупок"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  <w:r>
        <w:br/>
      </w:r>
      <w:r>
        <w:rPr>
          <w:rFonts w:ascii="Times New Roman"/>
          <w:b/>
          <w:i w:val="false"/>
          <w:color w:val="000000"/>
        </w:rPr>
        <w:t>
Стандартные условия; Определения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1.01. </w:t>
      </w:r>
      <w:r>
        <w:rPr>
          <w:rFonts w:ascii="Times New Roman"/>
          <w:b w:val="false"/>
          <w:i/>
          <w:color w:val="000000"/>
          <w:sz w:val="28"/>
        </w:rPr>
        <w:t>Стандартные условия</w:t>
      </w:r>
      <w:r>
        <w:rPr>
          <w:rFonts w:ascii="Times New Roman"/>
          <w:b w:val="false"/>
          <w:i w:val="false"/>
          <w:color w:val="000000"/>
          <w:sz w:val="28"/>
        </w:rPr>
        <w:t>. Стандартные условия для грантов, предоставляемых Всемирным банком из различных фондов, в редакции от 1 июля 2008 года (далее "Стандартные условия") составляют неотъемлемую часть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1.02. </w:t>
      </w:r>
      <w:r>
        <w:rPr>
          <w:rFonts w:ascii="Times New Roman"/>
          <w:b w:val="false"/>
          <w:i/>
          <w:color w:val="000000"/>
          <w:sz w:val="28"/>
        </w:rPr>
        <w:t>Определения</w:t>
      </w:r>
      <w:r>
        <w:rPr>
          <w:rFonts w:ascii="Times New Roman"/>
          <w:b w:val="false"/>
          <w:i w:val="false"/>
          <w:color w:val="000000"/>
          <w:sz w:val="28"/>
        </w:rPr>
        <w:t>. Если из контекста не следует иное, обозначенные заглавными буквами термины, используемые в настоящем Соглашении, имеют значения, приданные им в Стандартных условиях или в настоящем Соглашении.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  <w:r>
        <w:br/>
      </w:r>
      <w:r>
        <w:rPr>
          <w:rFonts w:ascii="Times New Roman"/>
          <w:b/>
          <w:i w:val="false"/>
          <w:color w:val="000000"/>
        </w:rPr>
        <w:t>
Реализация Проекта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2.01. </w:t>
      </w:r>
      <w:r>
        <w:rPr>
          <w:rFonts w:ascii="Times New Roman"/>
          <w:b w:val="false"/>
          <w:i/>
          <w:color w:val="000000"/>
          <w:sz w:val="28"/>
        </w:rPr>
        <w:t>Цели и описание Проекта</w:t>
      </w:r>
      <w:r>
        <w:rPr>
          <w:rFonts w:ascii="Times New Roman"/>
          <w:b w:val="false"/>
          <w:i w:val="false"/>
          <w:color w:val="000000"/>
          <w:sz w:val="28"/>
        </w:rPr>
        <w:t>. Цель Проекта заключается в повышении качества руководства и подотчетности при реализации проекта и, в частности, в усилении внутреннего контроля за управлением закупками. Проект состоит из следующих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(a) Независимый аудит закупок</w:t>
      </w:r>
      <w:r>
        <w:rPr>
          <w:rFonts w:ascii="Times New Roman"/>
          <w:b w:val="false"/>
          <w:i w:val="false"/>
          <w:color w:val="000000"/>
          <w:sz w:val="28"/>
        </w:rPr>
        <w:t>: Предоставление услуг консультантов и реализация учебной программы в целях: (i) проведения оценки закупок в рамках проекта, финансируемого Всемирным банком; (ii) проведения технической экспертизы результатов Проекта; и (iii) обучения местного персонала методам проведения оценки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(b) Институционализация и внедрение процедуры независимого аудита закупок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Предоставление услуг консультантов и реализация тренингов в целях: (i) проведения диагностической оценки существующих процедур оценки закупок; (ii) выработки стратегии укрепления потенциала для оценки закупок; и (iii) оказания содействия Министерству финансов и другим соответствующим ведомствам в укреплении и совершенствовании потенциала по проведению аудита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2.02. </w:t>
      </w:r>
      <w:r>
        <w:rPr>
          <w:rFonts w:ascii="Times New Roman"/>
          <w:b w:val="false"/>
          <w:i/>
          <w:color w:val="000000"/>
          <w:sz w:val="28"/>
        </w:rPr>
        <w:t>Общие условия реализации Проекта</w:t>
      </w:r>
      <w:r>
        <w:rPr>
          <w:rFonts w:ascii="Times New Roman"/>
          <w:b w:val="false"/>
          <w:i w:val="false"/>
          <w:color w:val="000000"/>
          <w:sz w:val="28"/>
        </w:rPr>
        <w:t>. Получатель заявляет о своей приверженности целям Проекта. С этой целью Получатель обеспечивает реализацию Проекта через Министерство финансов Республики Казахстан и реализацию компонента (а) (ii) Проекта через Министерство транспорта и коммуникаций Республики Казахстан в соответствии с положениями: (а) Статьи II Стандартных условий; (b) Руководства по предотвращению и борьбе с мошенничеством и коррупцией в проектах, финансируемых из займов МБРР и кредитов и грантов MAP, в редакции от 15 октября 2006 года; (с) и настоящей Статьи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2.03. </w:t>
      </w:r>
      <w:r>
        <w:rPr>
          <w:rFonts w:ascii="Times New Roman"/>
          <w:b w:val="false"/>
          <w:i/>
          <w:color w:val="000000"/>
          <w:sz w:val="28"/>
        </w:rPr>
        <w:t>Мониторинг, отчетность и оценка по Проекту</w:t>
      </w:r>
      <w:r>
        <w:rPr>
          <w:rFonts w:ascii="Times New Roman"/>
          <w:b w:val="false"/>
          <w:i w:val="false"/>
          <w:color w:val="000000"/>
          <w:sz w:val="28"/>
        </w:rPr>
        <w:t>. (а) Получатель обеспечивает мониторинг и оценку хода реализации Проекта и по требованию Банка подготавливает Отчеты по проекту в соответствии с положениями Раздела 2.06 Стандартных условий и на основе показателей, изложенные в подпункте (b) данного Раздела. Каждый Отчет по проекту должен охватывать период, указанный в требовании Банка, и должен быть предоставлен в Банк не позднее одного месяца после даты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(b) Показатели эффективности, упомянутые в подпункте (а) настоящего пункта, включают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Проведены аудиты закупок и техническая экспертиза проектов по строительству дорог, финансируемых Всемирным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Механизмы проведения аудита закупок и технической экспертизы полностью институционализированы.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Потенциал Министерства финансов по проведению аудитов закупок по проекту укреплен и усовершенствован.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(c) Получатель по получении требования Всемирного банка подготавливает Отчет о завершении проекта в соответствии с положениями Раздела 2.06 Стандартных условий. Отчет о завершении Проекта должен быть предоставлен во Всемирный банк не позднее пяти месяцев после Даты закрытия Счета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2.04. </w:t>
      </w:r>
      <w:r>
        <w:rPr>
          <w:rFonts w:ascii="Times New Roman"/>
          <w:b w:val="false"/>
          <w:i/>
          <w:color w:val="000000"/>
          <w:sz w:val="28"/>
        </w:rPr>
        <w:t>Управление финансами.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обеспечивает функционирование системы финансового управления в соответствии с положениями Раздела 2.07 Стандартных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(b) Получатель обеспечивает составление и предоставление во Всемирный банк промежуточной непроверенной финансовой отчетности по Проекту не позднее одного месяца со дня завершения каждого календарного полугодия, причем каждый такой отчет должен охватывать соответствующее полугодие, а форма и содержание такого отчета должны соответствовать требованиям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(c) Получатель обеспечивает аудиторскую проверку своих финансовых отчетов по Проекту в соответствии с положениями Раздела 2.07 (b) Стандартных условий. Такая аудиторская проверка финансовых отчетов должна охватывать весь период, в течение которого снимались средства со счета Гранта. Прошедшие аудиторскую проверку финансовые отчеты за такой период должны быть предоставлены во Всемирный банк не позднее шести месяцев со дня завершения соответствующего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2.05. </w:t>
      </w:r>
      <w:r>
        <w:rPr>
          <w:rFonts w:ascii="Times New Roman"/>
          <w:b w:val="false"/>
          <w:i/>
          <w:color w:val="000000"/>
          <w:sz w:val="28"/>
        </w:rPr>
        <w:t>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rPr>
          <w:rFonts w:ascii="Times New Roman"/>
          <w:b w:val="false"/>
          <w:i w:val="false"/>
          <w:color w:val="000000"/>
          <w:sz w:val="28"/>
        </w:rPr>
        <w:t>: Все необходимые для реализации Проекта услуги, финансируемые из средств Гранта, закупаются в соответствии с требованиями, изложенными или упомянутыми в Разделах I (за исключением пункта 1.24) и IV "Руководства по отбору и найму консультантов заемщиками Всемирного банка", опубликованного Всемирным банком в мае 2004 года и пересмотренного в октябре 2006 года (далее - "Руководство по отбору консультантов").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Определения</w:t>
      </w:r>
      <w:r>
        <w:rPr>
          <w:rFonts w:ascii="Times New Roman"/>
          <w:b w:val="false"/>
          <w:i w:val="false"/>
          <w:color w:val="000000"/>
          <w:sz w:val="28"/>
        </w:rPr>
        <w:t>. Термины, обозначенные заглавными буквами и используемые в следующих пунктах настоящего Раздела для описания отдельных методов закупок или методов рассмотрения Всемирным банком отдельных контрактов, относятся к соответствующим методам, описанным в Руководстве по отбору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Отдельные методы закупки консультативных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Если иное не предусмотрено подпунктом (ii) (с) настоящего пункта, закупка услуг консультантов будет производиться на основании контрактов, заключаемых по результатам отбора консультантов на основе качества и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Для закупки услуг консультантов, привлекаемых к выполнению заданий, согласованных Банком как отвечающие требованиям, указанных в Руководстве по отбору консультантов, могут применяться следующие методы: (а) Отбор по качеству; (b) Отбор в условиях фиксированного бюджета; (с) Отбор по наименьшей стоимости; (d) Отбор по квалификации консультантов; (е) Внеконкурсный отбор; (f) Отбор индивидуальных консультантов; и (g) Внеконкурсные процедуры по отбору индивидуальных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Всемирным банком решений по закупкам</w:t>
      </w:r>
      <w:r>
        <w:rPr>
          <w:rFonts w:ascii="Times New Roman"/>
          <w:b w:val="false"/>
          <w:i w:val="false"/>
          <w:color w:val="000000"/>
          <w:sz w:val="28"/>
        </w:rPr>
        <w:t>. Следующие контракты подлежат предварительному рассмотрению Всемирным банком, если Получатель не будет проинформирован об ином письменным уведомлением Всемирного Банка: (а) первый контракт, заключаемый в соответствии с каждым методом закупок; и (b) каждый контракт на консультативные услуги, предоставляемые фирмой на сумму, эквивалентную 100 000 долларов США или выше, и каждый контракт на услуги индивидуального консультанта на сумму, эквивалентную 50 000 долларов США или выше. Все технические требования и другие контракты подлежат последующему рассмотрению Всемирным банком.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  <w:r>
        <w:br/>
      </w:r>
      <w:r>
        <w:rPr>
          <w:rFonts w:ascii="Times New Roman"/>
          <w:b/>
          <w:i w:val="false"/>
          <w:color w:val="000000"/>
        </w:rPr>
        <w:t>
Снятие средств Гранта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3.01 </w:t>
      </w:r>
      <w:r>
        <w:rPr>
          <w:rFonts w:ascii="Times New Roman"/>
          <w:b w:val="false"/>
          <w:i/>
          <w:color w:val="000000"/>
          <w:sz w:val="28"/>
        </w:rPr>
        <w:t>Допустимые расходы</w:t>
      </w:r>
      <w:r>
        <w:rPr>
          <w:rFonts w:ascii="Times New Roman"/>
          <w:b w:val="false"/>
          <w:i w:val="false"/>
          <w:color w:val="000000"/>
          <w:sz w:val="28"/>
        </w:rPr>
        <w:t>. Получатель может производить выборку средств Гранта в соответствии с положениями: (а) Статьи III Стандартных условий; (b) настоящего Раздела; и (с) дополнительных инструкций, которые Всемирный банк может издавать посредством уведомления Получателя (включая "Руководство Всемирного банка по осуществлению выплат по проектам" в редакции, датированной маем 2006 года, периодически пересматриваемой Всемирным банком и применимой к настоящему Соглашению на основании таких инструкций) для финансирования удовлетворяющих критериям расходов, изложенных в следующей таблице. В таблице представлены категории допустимых расходов, которые могут финансироваться из средств Гранта ("Категория"), размеры выделяемых на каждую категорию ассигнований из средств Гранта, а также процентные доли расходов, подлежащих финансированию в качестве удовлетворяющих критериям расходов по каждой Категории: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4053"/>
        <w:gridCol w:w="4533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(в 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(%)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налоги)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консультантов,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аудит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450,000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Раздела термин "обучение" подразумевает стажировки и обучающие поездки, связанные с Проектом, учебные курсы, конференции, семинары и другие мероприятия, которые не включены в контрактах поставщиков товаров и услуг, в том числе стоимость учебных материалов, аренда помещения и оборудования, поездки, командировочные и суточные расходы обучающихся и преподавателей, оплата преподавателей, а также услуги устного и письменного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3.02. </w:t>
      </w:r>
      <w:r>
        <w:rPr>
          <w:rFonts w:ascii="Times New Roman"/>
          <w:b w:val="false"/>
          <w:i/>
          <w:color w:val="000000"/>
          <w:sz w:val="28"/>
        </w:rPr>
        <w:t>Условия снятия средств</w:t>
      </w:r>
      <w:r>
        <w:rPr>
          <w:rFonts w:ascii="Times New Roman"/>
          <w:b w:val="false"/>
          <w:i w:val="false"/>
          <w:color w:val="000000"/>
          <w:sz w:val="28"/>
        </w:rPr>
        <w:t>. Несмотря на положения Раздела 3.01 настоящего Соглашения, не допускается снятие средств для финансирования платежей, произведенных до даты подписания Получателем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3.03. </w:t>
      </w:r>
      <w:r>
        <w:rPr>
          <w:rFonts w:ascii="Times New Roman"/>
          <w:b w:val="false"/>
          <w:i/>
          <w:color w:val="000000"/>
          <w:sz w:val="28"/>
        </w:rPr>
        <w:t>Период снятия средств</w:t>
      </w:r>
      <w:r>
        <w:rPr>
          <w:rFonts w:ascii="Times New Roman"/>
          <w:b w:val="false"/>
          <w:i w:val="false"/>
          <w:color w:val="000000"/>
          <w:sz w:val="28"/>
        </w:rPr>
        <w:t>. Дата закрытия Счета Гранта, на которую ссылается пункт (с) Раздела 3.06 Стандартных условий, наступает через три года со дня подписания Получателем настоящего Соглашения.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  <w:r>
        <w:br/>
      </w:r>
      <w:r>
        <w:rPr>
          <w:rFonts w:ascii="Times New Roman"/>
          <w:b/>
          <w:i w:val="false"/>
          <w:color w:val="000000"/>
        </w:rPr>
        <w:t>
Представитель Получателя; Адреса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4.01. </w:t>
      </w:r>
      <w:r>
        <w:rPr>
          <w:rFonts w:ascii="Times New Roman"/>
          <w:b w:val="false"/>
          <w:i/>
          <w:color w:val="000000"/>
          <w:sz w:val="28"/>
        </w:rPr>
        <w:t>Представитель Получателя</w:t>
      </w:r>
      <w:r>
        <w:rPr>
          <w:rFonts w:ascii="Times New Roman"/>
          <w:b w:val="false"/>
          <w:i w:val="false"/>
          <w:color w:val="000000"/>
          <w:sz w:val="28"/>
        </w:rPr>
        <w:t>. Представителем Получателя, на которого ссылается Раздел 7.02 Стандартных условий, является Министр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4.02. </w:t>
      </w:r>
      <w:r>
        <w:rPr>
          <w:rFonts w:ascii="Times New Roman"/>
          <w:b w:val="false"/>
          <w:i/>
          <w:color w:val="000000"/>
          <w:sz w:val="28"/>
        </w:rPr>
        <w:t>Адрес Получателя</w:t>
      </w:r>
      <w:r>
        <w:rPr>
          <w:rFonts w:ascii="Times New Roman"/>
          <w:b w:val="false"/>
          <w:i w:val="false"/>
          <w:color w:val="000000"/>
          <w:sz w:val="28"/>
        </w:rPr>
        <w:t>. Адрес Получателя, на который ссылается Раздел 7.01 Стандартных условий: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Телекс:               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265126 (FILIN)             (7) (7172) 71 77 85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4.03. </w:t>
      </w:r>
      <w:r>
        <w:rPr>
          <w:rFonts w:ascii="Times New Roman"/>
          <w:b w:val="false"/>
          <w:i/>
          <w:color w:val="000000"/>
          <w:sz w:val="28"/>
        </w:rPr>
        <w:t>Адрес Всемирного банка</w:t>
      </w:r>
      <w:r>
        <w:rPr>
          <w:rFonts w:ascii="Times New Roman"/>
          <w:b w:val="false"/>
          <w:i w:val="false"/>
          <w:color w:val="000000"/>
          <w:sz w:val="28"/>
        </w:rPr>
        <w:t>. Адрес Всемирного банка, на который ссылается Раздел 7.01 Стандартных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International Bank for Reconstruction and Development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1818 H Street, N.W.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Washington, DC 20433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United States of America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Телеграф:           Телекс:      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INTBAFRAD           248423(MCI)  или   1-202-477-6391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Washington, D.C.    64145 (MCI)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