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19c5" w14:textId="55e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займе (Обычные операции) (Инвестиционная Программа для Транспортного коридора ЦАРЭС 2 (участка Мангистауской области) - Проект 1)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2011 года № 138</w:t>
      </w:r>
    </w:p>
    <w:p>
      <w:pPr>
        <w:spacing w:after="0"/>
        <w:ind w:left="0"/>
        <w:jc w:val="both"/>
      </w:pPr>
      <w:bookmarkStart w:name="z193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займе (Обычные операции) (Инвестиционная Программа для Транспортного коридора ЦАРЭС 2 (участки Мангистауской области) - Проект 1)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 займе (Обычные операции) (Инвестиционная Программа для Транспортного коридора ЦАРЭС 2 (участки Мангистауской области) - Проект 1)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138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</w:t>
      </w:r>
      <w:r>
        <w:br/>
      </w:r>
      <w:r>
        <w:rPr>
          <w:rFonts w:ascii="Times New Roman"/>
          <w:b/>
          <w:i w:val="false"/>
          <w:color w:val="000000"/>
        </w:rPr>
        <w:t>
(Обычные операции) (Инвестиционная Программа для Транспортного</w:t>
      </w:r>
      <w:r>
        <w:br/>
      </w:r>
      <w:r>
        <w:rPr>
          <w:rFonts w:ascii="Times New Roman"/>
          <w:b/>
          <w:i w:val="false"/>
          <w:color w:val="000000"/>
        </w:rPr>
        <w:t>
коридора ЦАРЭС 2 (участки Мангистауской области) - Проект 1)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Азиатским Банком Развития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СОГЛАШЕНИЕ О ЗАЙМЕ от _______________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(именуемой в дальнейшем Заемщик) и АЗИАТСКИМ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РАЗВИТИЯ (именуемым в дальнейшем АБР).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ПРИНИМАЯ ВО ВНИМАНИЕ НИЖЕСЛЕДУЮЩЕЕ: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согласно рамочному соглашению о финансировании от 2011 года, заключенному между Заемщиком и АБР ("РСФ"), АБР согласился предоставить многотраншевый механизм финансирования Заемщику для финансирования проектов в рамках Инвестиционной программы ("Инвестиционная Программа") Транспортного коридора ЦАРЭС 2 (участки Мангистауской области);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посредством периодического запроса о финансировании от 2010 года, предоставленного Заемщиком, Заемщик обратился в АБР о выделении займа для целей Проекта, описанного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займе; а также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АБР выразил согласие на предоставление Заемщику займа из обычных капитальных ресурсов АБР на установленных ниже сроках и условиях.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 ВЫШЕИЗЛОЖЕННОГО стороны договорились о следующем: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Правила предоставления займа; Определения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1.01. Все положения предоставления займа для обычных операций, применимые к займам по Лондонской межбанковской ставке, выделяющиеся из Обычных основных ресурсов АБР от 1 июля 2001 года, настоящим считаются применимыми к настоящему Соглашению о займе и действующими в полном объеме, как если бы они были изложены в тексте настоящего Соглашения, однако с соблюдением нижеследующих изменений.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Статья 3.03 удалена и заменена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Комиссия за резервирование;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выплачивать комиссию за резервирование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невостребованной сумме кредита по ставкам и условиям,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предусмотренным настоящим Договором займа.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обусловленным настоящим Соглашением о займе, которое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подлежит изменениям до конца срока займа. АБР обязуется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применить сумму данного кредита по отношению к процентам,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подлежащим к оплате Заемщиком.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Раздел 3.06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После каждого уведомления АБР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фиксированный спред, применимый к новым займам,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снижен, АБР обязуется предоставить возмещение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Заемщику с невостребованным займом, к которому применим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более высокий фиксированный спред. Сумма возмещения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определена путем умножения (i) разницы между фиксированным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спредом, применимым к невостребованному займу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фиксированным спредом, применимым к новым займам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(выраженной в виде годового процентного значения), на (ii)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основную сумму невостребованного займа, по которому Заемщик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обязуется выплачивать проценты в течение всех процентных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периодов, начиная с и после даты вступления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сниженного фиксированного спреда, применимого к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маржи стоимости финансирования в отношении валюты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(или утвержденной валюты) в любом полугодии привели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экономии средств АБР, АБР обязуется предоставить возмещение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Заемщику. Сумма возмещения будет определена путем умножения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(i) маржи стоимости финансирования (выраженной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годового процентного значения) на (ii) основную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займа, по которой Заемщик обязуется выплачивать проценты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течение процентного периода, начинающегося непосредственно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после полугодия, для которого была рассчитана маржа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стоимости финансирования. АБР обязуется вычесть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возмещения к процентам, подлежащим к оплате Заемщиком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течение процентного периода, начинающегося незамедлительно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после полугодия, для которого была рассчитана маржа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стоимости финансирования.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Раздел 3.07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После каждого уведомления АБР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фиксированный спред, применимый к новым займам,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увеличен, каждый Заемщик с невостребованным займом,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которому применим более низкий фиксированный спред,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обязуется выплатить АБР дополнительную сумму. Данная 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будет определена путем умножения (i) разницы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фиксированным спредом, применимым к новым займам,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фиксированным спредом, применимым к невостребованному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займу, (выраженной в виде годового процентного значения),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(ii) основную сумму невостребованного займа, по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Заемщик обязуется выплачивать проценты в течение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процентных периодов, начиная с и после даты вступления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силу повышенного фиксированного спреда, применимого к новым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расчеты маржи стоимости финансирования в отношении валюты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займа (или утвержденной валюты) в любом полугодии привели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дополнительным затратам, Заемщик обязуется выплатить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дополнительную сумму. Данная сумма будет определена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умножения (i) маржи стоимости финансирования (в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годового процентного значения) на (ii) основную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займа, по которой Заемщик обязуется выплачивать проценты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течение процентного периода, начинающегося незамедлительно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после полугодия, для которого была рассчитана маржа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стоимости финансирования. АБР обязуется прибавить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дополнительной оплаты к процентам, подлежащим к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Заемщиком в течение процентного периода, начинающегося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незамедлительно после полугодия, для которого была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рассчитана маржа стоимости финансирования.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1.02. При каждом случае употребления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Соглашении о займе, если иное не требуется по контексту, следующие термины, получившие определение в Правилах предоставления займа, имеют соответствующие значения, а также несколько дополнительных терминов имеют нижеследующие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"ЦАРЭС" - Центральноазиатское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"Коридор ЦАРЭС 2" - транспортный коридор от Стамбула в Турции через порт Баку в Азербайджане и Актау в Мангистауской области и территории Узбекистана, Таджикистана, Киргизской Республики до портов Льяньюнянг Тианджин и Шанхай в Китайской Народной Республике;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"Руководство по привлечению консультационных услуг" - Руководство АБР по привлечению услуг консультантов Азиатским Банком Развития и его Заемщиками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"Консультационные услуги" - услуги, которые будут финансироваться из средств займа, изложенных в подпунктах 2(b) по 2(d) Приложения 1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"КЭОО" означает концепцию экологической оценки обзора, подготовленную для инвестиционной программы Заемщиком, согласованную с АБР и включенную посредством ссылки в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"ПООС" означает План охраны окружающей среды, подготовленный Заемщиком для Проекта и согласованный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"Механизм" означает многотраншевый механизм финансирования, предоставленный АБР Заемщику для целей финансирования проектов в рамках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"РАМ" означает Руководство по администрации механизма для Инвестиционной Программы от 2 сентября 2010 года, согласованное между Заемщиком и АБР, корректируемое время от времени согласно соответствующих процедур Заемщика и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"ГПД" означает тендерный план действий, изложенный в пункте 7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(j) "ПЭО" означает предварительную экологическую оценку, подготовленную Заемщиком для Проекта и согласованную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(к) "Км" означает место с указанием определенного километража на проектной дороге, "км"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(l) "ОВЗП" означает Основы выкупа земель и переселения подготовленные Заемщиком для Инвестиционной программы, согласованные с АБР, включенные посредством ссылки в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(m) "ПВЗП" означает План выкупа земель и переселения в рамках Проекта, подготовленный Заемщиком для Проекта и согласованный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(n) "Руководство по выплатам займа" - Руководство АБР по выплате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(о) "МТК" - Министерство транспорта и коммуникаций или любой его правопреемник;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(р) "Область" означает 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(q) "ПЗФ" означает периодический запрос на финансирование, представленный или представляемый Заемщиком в целях получения займа в рамках механизма и для целей настоящего Соглашения о займе (означает периодический запрос на финансирование № 1 от ____________);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(r) "Руководство по закупкам" - Руководство по закупкам АБР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(s) "План закупок" означает план закупок для Проекта от 2 сентября 2010 года, согласованный между Заемщиком и АБР, с периодическими обновлениями в соответствии в Руководством по закупкам, Руководством по привлечению консалтинговых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(t) "Исполнительное Агентство по Проекту" - для целей и в рамках Правил предоставления займа означает МТК,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(u) "Проектные объекты" означают объекты, которые будут построены либо предоставлены в рамках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(v) "Проектная дорога" означает участки дорог, более детально описанные в Приложении 1 настоящего Соглашения о займе;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(w) "Работы" означают строительство или строительные работы, финансируемые за счет средств займа, включая такие услуги, как бурение или картографирование, и услуги, относящиеся к Проекту, оказываемые как часть единого обязательства либо контракта на строительство "под ключ", за исключением консультационных услуг.</w:t>
      </w:r>
    </w:p>
    <w:bookmarkEnd w:id="16"/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Заем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2.01. (а) АБР соглашается предоставить заем Заемщику из обычных капитальных ресурсов АБР в сумме двести восемьдесят три миллиона долларов США ($ 283 000 000),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двадцать (20) лет и льготный период согласно пункту (с)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"льготный период", используемое в пункте (b) данного Раздела, означает период, предшествующий первой дате платежа в погашение основного займа в соответствии с графиком погашения, изложенным в Приложении 2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2.02. Заемщик обязуется выплачивать АБР проценты на основную сумму займа, востребованного и невостребованного, периодически по ставкам каждого процентного периода, равным сумме Лондонской межбанковской ставки и 0,60% согласно Разделу 3.02 Правил предоставления займа, минус кредит 0,30% согласно Разделу 3.03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2.03. Заемщик обязуется выплачивать комиссию за резервирование в сумме 0,15%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подписания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2.04. Проценты и прочие выплаты по займу подлежат оплате один раз в полугодие 15 февраля и 15 августа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2.05. Заемщик обязуется выплатить основную сумму займа, востребованную со Ссудного счета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2.06. (а) Заемщик вправе в любое время запросить нижеследующие конвертации займа в целях обеспечения рационального регулирования займа: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востребованной или невостребованной, на утвержденную валюту; (ii) изменение базовой процентной ставки, применимой к полной или частичной основной сумме займа, востребованного или невостребованного, с плавающей процентной ставки на фиксированную и наоборот; и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 (b) Любой запрос об изменениях в соответствии с пунктом (а) данного Раздела, одобренный АБР, следует считать "Конвертацией"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Использование средств займа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3.02. Средства займа должны быть выделены и сняты в соответствии с положениями Приложения 3 настоящего Соглашения о займе, при этом допустимы периодические дополнения в данном Приложении по согласию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3.03. Если АБР не указано иное, Заемщик закупает или обязуется закупить по всем статьям расходов, финансируемых за счет займа, в соответствии с положениями Приложения 4 настоящего Соглашения о займе. АБР вправе отказать в финансировании контракта, по которому такой закуп не был в значительной степени произведен в соответствии с процедурами, оговоренными Заемщиком и АБР, либо в случае, если сроки и условия контракта не удовлетворяют требованиям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3.05. Датой закрытия займа для целей, изложенных в разделе 9.02 Правил предоставления займа, считается 31 января 2016 года, либо другая дата. согласованная между Заемщиком и АБР.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Особые условия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4.01. (а) Заемщик обязуется исполнять Проект с должной ответственностью и эффективностью и в соответствии с рациональной технической, финансовой, коммерческой практикой и практикой развития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 Приложении 5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4.02. Заемщик обязуется незамедлительно, по мере необходимости, обеспечить (дополнительно к средствам займа)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4.03. (а) В процессе реализации Проекта Заемщик обязуется обеспечить привлечение компетентных и квалифицированных консультантов и подрядчиков, приемлемых для АБР, в степени и на срок и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4.04. Заемщик обязуется обеспечить, чтобы все действия его министерств и организаций в отношении исполнения Проекта и эксплуатации Проектных объектов производились в соответствии с рациональными административной политикой 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4.05. (а) Заемщик обязуется (i) вести либо обеспечить ведение отдельных счетов для Проекта; (ii) проводить ежегодный аудит данных счетов бухучета и соответствующих финансовых отчетов в соответствии с четким применением соответствующих стандартов аудита, с привлечением независимых аудиторов, чьи квалификация, опыт работы и сфера полномочий отвечают требованиям АБР; (iii) предоставить АБР, по мере получения, но ни в коей мере не более чем по истечении шести (6) месяцев с момента окончания каждого соответствующего фискального года, заверенные копии данных счетов и финансовых отчетов, прошедших аудит, а также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языке, а также (iv) предоставить АБР прочую информацию, имеющую отношение к данным счетам, финансовым отчетам и аудиту, по периодическому обоснованному востребованию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востребованию АБР, периодически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4.05(a), и обязуется уполномочить и потребовать, чтобы любой из представителей аудиторов принял участие в данном обсуждении, по запросу АБР при условии, что обсуждение будет проводиться только в присутствии уполномоченного представителя Заемщика, если иное не указано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4.06. Заемщик обязуется предоставить возможность представителям АБР инспектировать Проект и Проектные объекты, финансируемые за счет средств Займа, а также соответствующие записи 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административными, финансовыми, инженерными, экологическими и социальными мерами безопасности, а также в соответствии с процедурами эксплуатации и технического обслуживания дорог.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Срок действия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5.01. Дата по истечении шестидесяти (60)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bookmarkEnd w:id="24"/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Прочие положения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6.01. Министр финансов Заемщика выступает в качестве представителя Заемщика для целей, изложенных в Разделе 12.02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6.02. Нижеследующие реквизиты указаны для целей, изложенных в Разделе 12.01 Правил предоставления займа: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 Заемщика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Проспект Победы, 11 Астана,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010000 Республика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Факс: +7(7172)717785.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 АБР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Asian Development Bank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6 ADB Avenue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Mandaluyong City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1550 Metro Manila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Факс: (632) 636-2444, (632) 636-2428.</w:t>
      </w:r>
    </w:p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[Уполномоченный представитель]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[Уполномоченный представитель]</w:t>
      </w:r>
    </w:p>
    <w:bookmarkStart w:name="z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</w:t>
      </w:r>
      <w:r>
        <w:br/>
      </w:r>
      <w:r>
        <w:rPr>
          <w:rFonts w:ascii="Times New Roman"/>
          <w:b/>
          <w:i w:val="false"/>
          <w:color w:val="000000"/>
        </w:rPr>
        <w:t>
Описание Проекта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Инвестиционной программы является увеличение транспортной связки и ее эффективности, а также повышение институциональной эффективности через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улучшение дороги (реконструкция около 790 км участков Транспортного коридора ЦАРЭС 2 в Мангистауской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усиление потенциала для планирования, управления Проектом и активами Проекта;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улучшение приграничной инфраструктуры и прилежащих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Будучи частью Инвестиционной программы, Проект будет поддерживать следующие мероприятия, подробно описанные в ПЗФ: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реконструкция около 200 км участков дороги (между Км 372.6 и Км 514.3; а также между Км 574 и Км 632.3), включая каналы и мосты, эстакады, дорожные знаки и сигнальные посты, вдоль участков, подверженных авариям;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содействие в надзоре за строительством и управлении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разработка технико-экономического обоснования последующих проектов;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развитие потенциала для строительства и содержания дорог, закупок по проектированию, управления контрактами, усиления мероприятий по охране окружающей среды и переселению; а также мероприятия по пересечению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30 июня 2015 года.</w:t>
      </w:r>
    </w:p>
    <w:bookmarkEnd w:id="29"/>
    <w:bookmarkStart w:name="z10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</w:t>
      </w:r>
      <w:r>
        <w:br/>
      </w:r>
      <w:r>
        <w:rPr>
          <w:rFonts w:ascii="Times New Roman"/>
          <w:b/>
          <w:i w:val="false"/>
          <w:color w:val="000000"/>
        </w:rPr>
        <w:t>
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2 (участки Мангистауской области)</w:t>
      </w:r>
      <w:r>
        <w:br/>
      </w:r>
      <w:r>
        <w:rPr>
          <w:rFonts w:ascii="Times New Roman"/>
          <w:b/>
          <w:i w:val="false"/>
          <w:color w:val="000000"/>
        </w:rPr>
        <w:t>
Инвестиционная программа - Проект 1)</w:t>
      </w:r>
    </w:p>
    <w:bookmarkEnd w:id="30"/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выплаты основной суммы займа и процент от общей основной суммы займа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суммы, будет определена АБР путем умножения: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общей основной суммы займа, востребованного и невостребованного, на момент первой даты платежа в погашение основного займа;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очередной взнос для каждой даты платежа в погашение основного займа.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Дата платежа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Очередной взнос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(выраженный в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2016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2016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2017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2017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2018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2018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2019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2019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2020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2020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2024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2024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2025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2025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2026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2026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2027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2027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2028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2028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2029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2029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2030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2030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2031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2031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2032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2032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2033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2033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2034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2034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февраля 2035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 августа 2035 года                    2 500000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Итого                             100 000 000</w:t>
      </w:r>
    </w:p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средства займа не были в полном объеме востребованы до первой даты платежа в погашение основного займа, основная сумма, подлежащая оплате Заемщиком, на каждую дату платежа в погашение основного займа будет определена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 пределах средств займа, которые следовало востребовать до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применима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дни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на каждую дату платежа в погашение основного займа, начиная со второй даты после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 при Конвертации валют в полном объеме или частично востребованных средств займа на утвержденную валюту сумма средств, конвертированных на вышеупомянутую утвержденную валюту, которая подлежит погашению в любую из дат основного погашения после периода Конвертации, будет определяться АБР путем умножения данной суммы в валюте деноминации непосредственно перед вышеупомянутой Конвертацией на: либо (i) курс обмена валют, отражающий суммы в указанной утвержденной валюте, подлежащие выплате АБР в рамках хеджа валют, относящегося к вышеупомянутой Конвертации; либо (ii) по решению АБР в соответствии с Руководством по Конвертации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bookmarkEnd w:id="32"/>
    <w:bookmarkStart w:name="z1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3</w:t>
      </w:r>
      <w:r>
        <w:br/>
      </w:r>
      <w:r>
        <w:rPr>
          <w:rFonts w:ascii="Times New Roman"/>
          <w:b/>
          <w:i w:val="false"/>
          <w:color w:val="000000"/>
        </w:rPr>
        <w:t>
Распределение и снятие средств займа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Таблица в настоящем Приложении излагает Категории товаров, работ, консультационных услуг и прочих расходов, финансируемых за счет средств займа, а также распределение сумм займа для каждой такой Категории (в дальнейшем именуется Таблица). (Упоминания в дальнейшем понятий "Категория" или "Категории" в настоящем Приложении относятся к Категории или Категориям Таблицы.)</w:t>
      </w:r>
    </w:p>
    <w:bookmarkEnd w:id="34"/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АБР не согласовано иное, расходы Категорий, перечисленные в Таблице, будут финансироваться за счет средств займа на основе процентных значений, указанных в Таблице.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если сумма займа, выделенная для каждой Категории, является недостаточной для финансирования всех согласованных расходов данной Категории, АБР вправе, при условии уведомления Заемщика, (i) перераспределить средства для данной Категории в целях восполнения нехватки средств за счет средств, выделенных для другой Категории, но,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 расходы в данной Категории, АБР вправе путем уведомления Заемщика перераспределить такую избыточную сумму в пользу другой Категории.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АБР не согласовано иное, средства займа подлежат оплате в соответствии с Руководством по выплате займа.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Условие снятия средств со счета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 зависимости от прочих положений настоящего Соглашения о займе снятие средств со счета займа для работы не могут производиться до тех пор, пока Заемщик не предоставит соответствующие средства для выкупа земель МТК, а также все права на землю и права на прокладку дорог, без каких-либо претензий третьих лиц и обременении, необходимые для строительных работ.</w:t>
      </w:r>
    </w:p>
    <w:bookmarkEnd w:id="38"/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Дополнение к Приложению 3</w:t>
      </w:r>
    </w:p>
    <w:bookmarkEnd w:id="39"/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ТАБЛИЦА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3733"/>
        <w:gridCol w:w="3873"/>
        <w:gridCol w:w="4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И СНЯТИЕ СРЕДСТВ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(Транспортный коридор ЦАРЭС 2 (участки Мангистауской области)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программа - Проект 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АБР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($) Категория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и основа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 со счета займа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242 300 000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затрат*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затрат*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24 700 000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283 000 000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Не включая налоги и пошлины, взимаемые на территории Заемщика</w:t>
      </w:r>
    </w:p>
    <w:bookmarkStart w:name="z1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4</w:t>
      </w:r>
      <w:r>
        <w:br/>
      </w:r>
      <w:r>
        <w:rPr>
          <w:rFonts w:ascii="Times New Roman"/>
          <w:b/>
          <w:i w:val="false"/>
          <w:color w:val="000000"/>
        </w:rPr>
        <w:t>
Закупки работ и консультационных услуг</w:t>
      </w:r>
    </w:p>
    <w:bookmarkEnd w:id="41"/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Все работы и консультационные услуги, финансируемые за счет средств займа, подлежат исполнению и контролю в соответствии с Руководством по закупкам и Руководством по привлечению консультационных услуг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иначе в настоящем Соглашении о займе, имеют значения, изложенные в Руководстве по закупкам и (или) Руководстве по привлечению консультационных услуг в соответствующих случаях.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АБР не согласовано иное, работы должны будут приобретаться на основе процедур международных конкурсных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Процедура закупок, помимо прочих условий, подлежит исполнению в соответствии с детальными договоренностями пороговой стоимости, указанными в Плане закупок. Заемщик вправе модифицировать процедуру закупок или пороговую стоимость только при условии предварительного согласования с АБР, при этом все изменения должны отражаться в дополнениях к Плану закупок.</w:t>
      </w:r>
    </w:p>
    <w:bookmarkEnd w:id="43"/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Условие заключения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МТК обязуется не заключать контракт на выполнение работ до тех пор, пока: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ПЭО не будет одобрен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ПВЗП не будет одобрен АБР.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АБР не указано иное, МТК обязуется выбрать и привлечь консультационные услуги, основываясь на оценке качества и цены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МТК обязуется нанять индивидуальных консультантов для управления программой согласно процедур, приемлемых для АБР при найме индивидуальных консультантов.</w:t>
      </w:r>
    </w:p>
    <w:bookmarkEnd w:id="45"/>
    <w:bookmarkStart w:name="z1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(а) МТК обязуется обеспечить, чтобы все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права третьих лиц на промышленную или интеллектуальную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MTK обязуется обеспечить, чтобы все контракты по закупкам работ содержали соответствующие заверения, гарантии и, если необходимо, гарантии возмещения убытков со стороны подрядчика или поставщика в отношении случаев, указанных в подпункте (а)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МТК обязуется обеспечить, чтобы все контракты с консультантами, финансируемыми АБР, содержали соответствующие заверения, гарантии и, если необходимо, гарантии возмещения убытков со стороны консультантов, при этом необходимо убедиться в том, что предоставляемые консультационные услуги не нарушают любое право третьих лиц на промышленную или интеллектуальную собственность.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АБР решений о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контракты, закупленные в рамках процедур международных конкурсных торгов, и контракты на оказание консультационных услуг подлежат предварительному рассмотрению АБР, если иное не согласовано МТК и АБР и не указано в Плане закупок.</w:t>
      </w:r>
    </w:p>
    <w:bookmarkEnd w:id="47"/>
    <w:bookmarkStart w:name="z14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5</w:t>
      </w:r>
      <w:r>
        <w:br/>
      </w:r>
      <w:r>
        <w:rPr>
          <w:rFonts w:ascii="Times New Roman"/>
          <w:b/>
          <w:i w:val="false"/>
          <w:color w:val="000000"/>
        </w:rPr>
        <w:t>
Исполнение Проекта и эксплуатация Проектных объектов;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Заемщик обязуется обеспечить реализацию Проекта в соответствии с подробными мероприятиями, установленными в РАМ. Любые изменения в РАМ должны вступать в силу после согласования такого изменения Заемщиком с АБР. В случае любого несоответствия между РАМ и настоящим Соглашением о займе положения Соглашения о займе имеют превалирующую силу.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Заемщик обязуется обеспечить, чтобы подготовка, проектирование, строительство, реализация, эксплуатация и вывод из эксплуатации Проекта и проектных объектов производились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соответствующими национальными законами и положениями;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политикой охранных мероприятий АБР (2009),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КЭОО, ПЭО, ПООС и всеми экологическими мерами по минимизации воздействия на окружающую среду, как указано в ПООС.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Заемщик обязуется убедиться в том,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соответствующее финансирование и человеческие ресурсы предоставлены для исполнения, мониторинга и отчетности выполнения ПООС;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полугодовые экологические отчеты подготовлены и представлены в АБР в течение 3 месяцев после каждого периода, по которому составляется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соответствующая информация из таких отчетов предоставляется для соответствующих лиц,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установлены эффективные механизмы рассмотрения жалоб, приемлемых для АБР, для своевременного рассмотрения и принятия мер для решения беспокойства, жалоб и претензий пострадавших.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МТК обязуется убедиться, что все тендерные документы и контракты на выполнение работ содержат положения, которые требуют, чтобы подрядчик: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соблюдал соответствующие экологические меры в соответствии с ПЭО, с обновленными положениями ПЭО, ПООС и любыми другими корректирующими или превентивными мерами, изложенными в отчете по мониторингу;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обеспечил финансирование таких экологических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предоставил Заемщику, с копией в АБР, письменное уведомление о любых ожидаемых экологических рисках или воздействии на окружающую среду, которые могут возникнуть при строительстве или реализации Проекта и которые не были предусмотрены в ПЭО и ПООС;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обеспечил надлежащий учет состояния дорог, сельскохозяйственных угодий и других объектов инфраструктуры до начала перевозки материалов и строительства; а также по завершению строительства полностью восстановил пути, другие объекты местной инфраструктуры и сельскохозяйственных угодий, по крайней мере до состояния, в котором эти объекты находились до начала строительства Проекта.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Заемщик обязуется убедиться, что Проект исполняется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всеми соответствующими законами и положениями Заемщика, связанными с выкупом земельных участков и недобровольным переселением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политикой охранных мероприятий АБР (2009);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ОВЗП и ПВЗП, в частности, включая следующие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(a) все земельные участки и права на прокладку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необходимые для работ подрядчика,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приобрести своевременно;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(b) не должно произойти никаких физических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экономических перемещений до того, как (i)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окончательно разработан ПВЗП, а также (ii)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полностью оплачена компенсация за переезд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перемещенному лицу вместе с компенсацией, оговоренной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ПВЗП, для соответствующих участков дорог, готовых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(c) не должны быть начаты никакие работы до тех пор,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ПВЗП не будет согласован с АБР, и никакие работы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должны быть начаты, пока окончательный вариант ПВЗП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реализован в соответствии с его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(d) должны быть установлены эффективные механизмы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разрешения жалоб, приемлемые для АБР,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своевременного рассмотрения и принятия мер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решения беспокойства, жалоб и претензий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помочь затронутым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(е) должно быть предоставлено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финансирование и человеческие ресурсы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бюджета на консультационные услуги для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 и учета исполнения работ по ПВЗП;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(f) эксперты по независимому мониторингу, приемлемые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АБР, должны быть привлечены в течение 3 месяцев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дня вступления займа в силу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мониторинга и оценки ПВЗП и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результатов в АБР на полугодичной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(g) если в период исполнения ПВЗП производятся любые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изменения местности, разбивка дорог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дополнительные воздействия на окружающую среду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переселение, необходимо внести необходимые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ПВЗП и получить одобрение всех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правительственных органов до последующей реализации.</w:t>
      </w:r>
    </w:p>
    <w:bookmarkEnd w:id="51"/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Стандарты труда и 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МТК обязуется убедиться, что все контракты на выполнение работ содержат особые положения о том, что подрядчики строительных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соблюдают все соответствующие Кодексы о труде и трудовое законодательство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 мере возможности вовлекают в трудоустройство женщин и местное население, включая неблагополучное население, живущих вблизи строительства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распространяют информацию о мерах безопасности на объекте строительства всем работающим;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предоставляют равную оплату мужчинам и женщинам за равный труд;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обеспечивают безопасные условия труда и разделяют соответствующие объекты использования мужчинами и женщинами,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не используют детский труд. МТК обязуется убедиться, что строго отслеживается социальное воздействие во время всего Проекта и представляется отчет по этому вопросу в АБР раз в полгода.</w:t>
      </w:r>
    </w:p>
    <w:bookmarkEnd w:id="52"/>
    <w:bookmarkStart w:name="z1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Тендерные вопросы и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Заемщик в течение 3 месяцев со дня вступления займа в силу рассмотрит и подготовит окончательную версию ГПД, подготовленного для ММФ для того, чтобы обеспечить следующее, в дополнение к равной оплате труда женщин и их обеспечения работой: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информация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конкретные и строгие меры по выявлению и предотвращению торговли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женщины и мужчины одинаково информируются о Проекте и поощряются для участия в мероприятиях, связанных с выкупом земель и переселением;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женщины из семей, подлежащих перемещению, и уязвимых групп привлекаются к решению непредвиденных социальных воздействий и воздействий на окружающую среду на период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обеспечит, чтобы ГПД был полностью своевременно реализован в течение периода реализации Проекта и достаточные ресурсы были выделены для этой цели, а также что реализация ГПД будет отражаться в процессе мониторинга и соответствующий отчет два раза в год будет представляться в АБР.</w:t>
      </w:r>
    </w:p>
    <w:bookmarkEnd w:id="53"/>
    <w:bookmarkStart w:name="z1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Рефинансирование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ограничивая общий смысл Раздела 4.02 настоящего Соглашения о займе, Заемщик обязуется предоставить все встречные средства, необходимые для своевременного и эффективного исполнения Проекта в виде ежегодных отчислений МТК и обязуется убедиться в том, что необходимые ресурсы предоставляются своевременно. Заемщик обязуется поручить МТК включить обновленные требования по финансированию исполнения Проекта в его ежегодные программы развития.</w:t>
      </w:r>
    </w:p>
    <w:bookmarkEnd w:id="54"/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Управление и борьба с коррупцией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Заемщик обязуется (i) следовать политике АБР по борьбе с коррупцией (от 1998 года, с поправками на настоящее время) и что АБР вправе расследовать (непосредственно либо через его агентов), все предполагаемые случаи коррупции, мошенничества, тайного сговора или принуждения, относящиеся к Проекту, а также (ii) сотрудничать в полной мере и содействовать такому расследованию путем оказания необходимой поддержки для удовлетворительного завершения любого такого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МТК обязуется обеспечить, чтобы все контракты и тендерные документы включали антикоррупционные положения, приемлемые для АБР, включая положения, обуславливающие право АБР проводить аудит и производить проверку всех отчетов, записей и счетов МТК и всех подрядчиков, поставщиков и консультантов, а также прочих лиц, оказывающих услуги в рамках Проекта.</w:t>
      </w:r>
    </w:p>
    <w:bookmarkEnd w:id="55"/>
    <w:bookmarkStart w:name="z1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МТК обязуется обеспечить, чтобы Проект исполнялся в соответствии с применимыми техническими спецификациями и планами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bookmarkEnd w:id="56"/>
    <w:bookmarkStart w:name="z1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Обеспечение безопасности дорожного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МТК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осуществлять мониторинг уровня аварийности и интенсивности движения в течение эксплуатации Проектной дороги.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