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404c" w14:textId="ddf4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оптимизации системы управления институтами развития, финансовыми организациями и развития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мая 2013 года 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системы управления институтами развития, финансовыми организациями и развития национальной экономики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создать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акционерное общество «Национальный управляющий холдинг «Байтерек» (далее – АО «НУХ «Байтерек»);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определить, что АО «НУХ «Байтерек» –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управляющий холдинг</w:t>
      </w:r>
      <w:r>
        <w:rPr>
          <w:rFonts w:ascii="Times New Roman"/>
          <w:b w:val="false"/>
          <w:i w:val="false"/>
          <w:color w:val="000000"/>
          <w:sz w:val="28"/>
        </w:rPr>
        <w:t>, основной деятельностью которого является управление принадлежащими ему на праве собственности и переданными в доверительное управление пакетами акций (долями участия) национальных институтов развития, национальных компаний и других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перечня акционерных обществ, государственные пакеты акций которых передаются в оплату размещаемых акций АО «НУХ «Байтерек», включающего в том числе акционерные общества,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передачу по договору мены республиканского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Указу, в собственность акционерного общества «Фонд национального благосостояния «Самрук-Казына»;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2014 года разработку законодательной основы деятельности АО «НУХ «Байтерек» в целях содействия развитию и диверсификации экономики, привлечения инвестиций, развития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меры, необходимые для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№ 571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акционерных обществ, государственные пакеты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которых передаются в оплату размещаемых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акционерного общества «Национальный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холдинг «Байтерек»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673"/>
        <w:gridCol w:w="34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пакет акций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«Национальное агентство по технологическому развитию»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«Жилстройсбербанк Казахстана»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«Ипотечная организация «Казахстанская Ипотечная Компания»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91,3554 %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«Казахстанский Фонд гарантирования ипотечных кредитов»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стрессовых активов»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«Банк развития Казахстана»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«Казына Капитал Менеджмент»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«Экспортно-кредитная страховая корпорация «КазЭкспортГарант»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«Инвестиционный фонд Казахстана»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развития предпринимательства «Даму»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№ 571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Республиканское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передаваемое в собственность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«Фонд национального благосостояния «Самрук-Казына»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29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газотранспортной системы, полученные в результате расторжения Договора концессии внутренней и международной газотранспортных систем и хозяйственной деятельности от 14 июня 1997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Подводящие газопроводы высокого давления к АГРС «Кавказ-15» в поселках Уштаган, Шолтобе, Бейнеу и подводящие газопроводы высокого давления к АГРС «Кавказ-10» в поселках Сай-Утес и Тажен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железнодорожного транспорта и иное имущество, расположенные на территории Алтайского края и Оренбургской области Российской Федерации, являющиеся собственностью Республики Казахстан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железнодорожного транспорта и иное имущество, расположенные на территории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участке государственная граница – станция Никельтау (линия Орск – Никельтау);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участке государственная граница – станция Тобол (линия Тобол – Карталы);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участке государственная граница – станция Пресногорьковская (линия Новоишимская – Утяк);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участке станция Петропавловск (исключительно) – Блокпост № 7 (линия Петропавловск – Кокшетау)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общей площадью 71,20 квадратных метра, расположенный по адресу: Восточно-Казахстанская область, город Усть-Каменогорск, улица Кайсенова, 121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газопровод-отвод протяженностью 17 771 м (электрические сети ВЛ-10 кВ – 14 676 м) и двухквартирный жилой дом для операторов АГРС (АГРС – 1 шт.) в поселке Аккайтым Шалкарского района Актюбинской области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газопровод высокого давления «Карачаганак – Уральск» в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