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aeb41" w14:textId="5faeb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Концептуального плана законотворческой работы на 2016 - 2021 годы (шестой созыв Парламента Республики Казахстан)</w:t>
      </w:r>
    </w:p>
    <w:p>
      <w:pPr>
        <w:spacing w:after="0"/>
        <w:ind w:left="0"/>
        <w:jc w:val="both"/>
      </w:pPr>
      <w:r>
        <w:rPr>
          <w:rFonts w:ascii="Times New Roman"/>
          <w:b w:val="false"/>
          <w:i w:val="false"/>
          <w:color w:val="000000"/>
          <w:sz w:val="28"/>
        </w:rPr>
        <w:t>Указ Президента Республики Казахстан от 6 сентября 2016 года № 314</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2" w:id="0"/>
          <w:p>
            <w:pPr>
              <w:spacing w:after="20"/>
              <w:ind w:left="20"/>
              <w:jc w:val="both"/>
            </w:pPr>
            <w:r>
              <w:rPr>
                <w:rFonts w:ascii="Times New Roman"/>
                <w:b w:val="false"/>
                <w:i w:val="false"/>
                <w:color w:val="000000"/>
                <w:sz w:val="20"/>
              </w:rPr>
              <w:t>
Подлежит опубликованию в</w:t>
            </w:r>
            <w:r>
              <w:br/>
            </w:r>
            <w:r>
              <w:rPr>
                <w:rFonts w:ascii="Times New Roman"/>
                <w:b w:val="false"/>
                <w:i w:val="false"/>
                <w:color w:val="000000"/>
                <w:sz w:val="20"/>
              </w:rPr>
              <w:t>
Собрании актов Президента и</w:t>
            </w:r>
            <w:r>
              <w:br/>
            </w:r>
            <w:r>
              <w:rPr>
                <w:rFonts w:ascii="Times New Roman"/>
                <w:b w:val="false"/>
                <w:i w:val="false"/>
                <w:color w:val="000000"/>
                <w:sz w:val="20"/>
              </w:rPr>
              <w:t>
Правительства Республики</w:t>
            </w:r>
            <w:r>
              <w:br/>
            </w:r>
            <w:r>
              <w:rPr>
                <w:rFonts w:ascii="Times New Roman"/>
                <w:b w:val="false"/>
                <w:i w:val="false"/>
                <w:color w:val="000000"/>
                <w:sz w:val="20"/>
              </w:rPr>
              <w:t>
Казахстан</w:t>
            </w:r>
          </w:p>
          <w:bookmarkEnd w:id="0"/>
        </w:tc>
      </w:tr>
    </w:tbl>
    <w:bookmarkStart w:name="z4" w:id="1"/>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статьей 16</w:t>
      </w:r>
      <w:r>
        <w:rPr>
          <w:rFonts w:ascii="Times New Roman"/>
          <w:b w:val="false"/>
          <w:i w:val="false"/>
          <w:color w:val="000000"/>
          <w:sz w:val="28"/>
        </w:rPr>
        <w:t xml:space="preserve"> Закона Республики Казахстан от 6 апреля 2016 года "О правовых актах" </w:t>
      </w:r>
      <w:r>
        <w:rPr>
          <w:rFonts w:ascii="Times New Roman"/>
          <w:b/>
          <w:i w:val="false"/>
          <w:color w:val="000000"/>
          <w:sz w:val="28"/>
        </w:rPr>
        <w:t>ПОСТАНОВЛЯЮ:</w:t>
      </w:r>
      <w:r>
        <w:br/>
      </w:r>
      <w:r>
        <w:rPr>
          <w:rFonts w:ascii="Times New Roman"/>
          <w:b w:val="false"/>
          <w:i w:val="false"/>
          <w:color w:val="000000"/>
          <w:sz w:val="28"/>
        </w:rPr>
        <w:t>
</w:t>
      </w:r>
      <w:r>
        <w:rPr>
          <w:rFonts w:ascii="Times New Roman"/>
          <w:b w:val="false"/>
          <w:i w:val="false"/>
          <w:color w:val="000000"/>
          <w:sz w:val="28"/>
        </w:rPr>
        <w:t>
      1. Утвердить прилагаемый </w:t>
      </w:r>
      <w:r>
        <w:rPr>
          <w:rFonts w:ascii="Times New Roman"/>
          <w:b w:val="false"/>
          <w:i w:val="false"/>
          <w:color w:val="000000"/>
          <w:sz w:val="28"/>
        </w:rPr>
        <w:t>Концептуальный план</w:t>
      </w:r>
      <w:r>
        <w:rPr>
          <w:rFonts w:ascii="Times New Roman"/>
          <w:b w:val="false"/>
          <w:i w:val="false"/>
          <w:color w:val="000000"/>
          <w:sz w:val="28"/>
        </w:rPr>
        <w:t xml:space="preserve"> законотворческой работы на 2016 - 2021 годы (шестой созыв Парламента Республики Казахстан) (далее - Концептуальный план).</w:t>
      </w:r>
      <w:r>
        <w:br/>
      </w:r>
      <w:r>
        <w:rPr>
          <w:rFonts w:ascii="Times New Roman"/>
          <w:b w:val="false"/>
          <w:i w:val="false"/>
          <w:color w:val="000000"/>
          <w:sz w:val="28"/>
        </w:rPr>
        <w:t>
</w:t>
      </w:r>
      <w:r>
        <w:rPr>
          <w:rFonts w:ascii="Times New Roman"/>
          <w:b w:val="false"/>
          <w:i w:val="false"/>
          <w:color w:val="000000"/>
          <w:sz w:val="28"/>
        </w:rPr>
        <w:t>
      2. Правительству Республики Казахстан:</w:t>
      </w:r>
      <w:r>
        <w:br/>
      </w:r>
      <w:r>
        <w:rPr>
          <w:rFonts w:ascii="Times New Roman"/>
          <w:b w:val="false"/>
          <w:i w:val="false"/>
          <w:color w:val="000000"/>
          <w:sz w:val="28"/>
        </w:rPr>
        <w:t>
</w:t>
      </w:r>
      <w:r>
        <w:rPr>
          <w:rFonts w:ascii="Times New Roman"/>
          <w:b w:val="false"/>
          <w:i w:val="false"/>
          <w:color w:val="000000"/>
          <w:sz w:val="28"/>
        </w:rPr>
        <w:t>
      1) обеспечить реализацию Концептуального плана;</w:t>
      </w:r>
      <w:r>
        <w:br/>
      </w:r>
      <w:r>
        <w:rPr>
          <w:rFonts w:ascii="Times New Roman"/>
          <w:b w:val="false"/>
          <w:i w:val="false"/>
          <w:color w:val="000000"/>
          <w:sz w:val="28"/>
        </w:rPr>
        <w:t>
</w:t>
      </w:r>
      <w:r>
        <w:rPr>
          <w:rFonts w:ascii="Times New Roman"/>
          <w:b w:val="false"/>
          <w:i w:val="false"/>
          <w:color w:val="000000"/>
          <w:sz w:val="28"/>
        </w:rPr>
        <w:t>
      2) ежегодно к 25 января по итогам года представлять в Администрацию Президента Республики Казахстан информацию о ходе выполнения Концептуального плана.</w:t>
      </w:r>
      <w:r>
        <w:br/>
      </w:r>
      <w:r>
        <w:rPr>
          <w:rFonts w:ascii="Times New Roman"/>
          <w:b w:val="false"/>
          <w:i w:val="false"/>
          <w:color w:val="000000"/>
          <w:sz w:val="28"/>
        </w:rPr>
        <w:t>
</w:t>
      </w:r>
      <w:r>
        <w:rPr>
          <w:rFonts w:ascii="Times New Roman"/>
          <w:b w:val="false"/>
          <w:i w:val="false"/>
          <w:color w:val="000000"/>
          <w:sz w:val="28"/>
        </w:rPr>
        <w:t>
      3. Контроль за исполнением настоящего Указа возложить на Администрацию Президента Республики Казахстан.</w:t>
      </w:r>
      <w:r>
        <w:br/>
      </w:r>
      <w:r>
        <w:rPr>
          <w:rFonts w:ascii="Times New Roman"/>
          <w:b w:val="false"/>
          <w:i w:val="false"/>
          <w:color w:val="000000"/>
          <w:sz w:val="28"/>
        </w:rPr>
        <w:t>
</w:t>
      </w:r>
      <w:r>
        <w:rPr>
          <w:rFonts w:ascii="Times New Roman"/>
          <w:b w:val="false"/>
          <w:i w:val="false"/>
          <w:color w:val="000000"/>
          <w:sz w:val="28"/>
        </w:rPr>
        <w:t>
      4. Настоящий Указ вводится в действие со дня подписания.</w:t>
      </w:r>
      <w:r>
        <w:br/>
      </w:r>
      <w:r>
        <w:rPr>
          <w:rFonts w:ascii="Times New Roman"/>
          <w:b w:val="false"/>
          <w:i w:val="false"/>
          <w:color w:val="000000"/>
          <w:sz w:val="28"/>
        </w:rPr>
        <w:t>
 </w:t>
      </w:r>
    </w:p>
    <w:bookmarkEnd w:id="1"/>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bookmarkStart w:name="z11" w:id="2"/>
          <w:p>
            <w:pPr>
              <w:spacing w:after="20"/>
              <w:ind w:left="20"/>
              <w:jc w:val="both"/>
            </w:pPr>
            <w:r>
              <w:rPr>
                <w:rFonts w:ascii="Times New Roman"/>
                <w:b w:val="false"/>
                <w:i w:val="false"/>
                <w:color w:val="000000"/>
                <w:sz w:val="20"/>
              </w:rPr>
              <w:t>
</w:t>
            </w:r>
            <w:r>
              <w:rPr>
                <w:rFonts w:ascii="Times New Roman"/>
                <w:b w:val="false"/>
                <w:i/>
                <w:color w:val="000000"/>
                <w:sz w:val="20"/>
              </w:rPr>
              <w:t>      Президент</w:t>
            </w:r>
            <w:r>
              <w:br/>
            </w:r>
            <w:r>
              <w:rPr>
                <w:rFonts w:ascii="Times New Roman"/>
                <w:b w:val="false"/>
                <w:i w:val="false"/>
                <w:color w:val="000000"/>
                <w:sz w:val="20"/>
              </w:rPr>
              <w:t>
</w:t>
            </w:r>
            <w:r>
              <w:rPr>
                <w:rFonts w:ascii="Times New Roman"/>
                <w:b w:val="false"/>
                <w:i w:val="false"/>
                <w:color w:val="000000"/>
                <w:sz w:val="20"/>
              </w:rPr>
              <w:t>
</w:t>
            </w:r>
            <w:r>
              <w:rPr>
                <w:rFonts w:ascii="Times New Roman"/>
                <w:b w:val="false"/>
                <w:i/>
                <w:color w:val="000000"/>
                <w:sz w:val="20"/>
              </w:rPr>
              <w:t>Республики Казахстан</w:t>
            </w:r>
          </w:p>
          <w:bookmarkEnd w:id="2"/>
        </w:tc>
        <w:tc>
          <w:tcPr>
            <w:tcW w:w="420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Н.Назарбаев</w:t>
            </w:r>
          </w:p>
        </w:tc>
      </w:tr>
    </w:tbl>
    <w:p>
      <w:pPr>
        <w:spacing w:after="0"/>
        <w:ind w:left="0"/>
        <w:jc w:val="both"/>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3" w:id="3"/>
          <w:p>
            <w:pPr>
              <w:spacing w:after="20"/>
              <w:ind w:left="20"/>
              <w:jc w:val="both"/>
            </w:pPr>
            <w:r>
              <w:rPr>
                <w:rFonts w:ascii="Times New Roman"/>
                <w:b w:val="false"/>
                <w:i w:val="false"/>
                <w:color w:val="000000"/>
                <w:sz w:val="20"/>
              </w:rPr>
              <w:t>
УТВЕРЖДЕН</w:t>
            </w:r>
            <w:r>
              <w:br/>
            </w:r>
            <w:r>
              <w:rPr>
                <w:rFonts w:ascii="Times New Roman"/>
                <w:b w:val="false"/>
                <w:i w:val="false"/>
                <w:color w:val="000000"/>
                <w:sz w:val="20"/>
              </w:rPr>
              <w:t>
Указом Президента</w:t>
            </w:r>
            <w:r>
              <w:br/>
            </w:r>
            <w:r>
              <w:rPr>
                <w:rFonts w:ascii="Times New Roman"/>
                <w:b w:val="false"/>
                <w:i w:val="false"/>
                <w:color w:val="000000"/>
                <w:sz w:val="20"/>
              </w:rPr>
              <w:t>
Республики Казахстан</w:t>
            </w:r>
            <w:r>
              <w:br/>
            </w:r>
            <w:r>
              <w:rPr>
                <w:rFonts w:ascii="Times New Roman"/>
                <w:b w:val="false"/>
                <w:i w:val="false"/>
                <w:color w:val="000000"/>
                <w:sz w:val="20"/>
              </w:rPr>
              <w:t>
от 6 сентября 2016 года № 314</w:t>
            </w:r>
          </w:p>
          <w:bookmarkEnd w:id="3"/>
        </w:tc>
      </w:tr>
    </w:tbl>
    <w:bookmarkStart w:name="z14" w:id="4"/>
    <w:p>
      <w:pPr>
        <w:spacing w:after="0"/>
        <w:ind w:left="0"/>
        <w:jc w:val="left"/>
      </w:pPr>
      <w:r>
        <w:rPr>
          <w:rFonts w:ascii="Times New Roman"/>
          <w:b/>
          <w:i w:val="false"/>
          <w:color w:val="000000"/>
        </w:rPr>
        <w:t xml:space="preserve"> 
КОНЦЕПТУАЛЬНЫЙ ПЛАН</w:t>
      </w:r>
      <w:r>
        <w:br/>
      </w:r>
      <w:r>
        <w:rPr>
          <w:rFonts w:ascii="Times New Roman"/>
          <w:b/>
          <w:i w:val="false"/>
          <w:color w:val="000000"/>
        </w:rPr>
        <w:t>
законотворческой работы на 2016-2021 годы (шестой созыв Парламента Республики Казахстан)</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81"/>
        <w:gridCol w:w="8919"/>
      </w:tblGrid>
      <w:tr>
        <w:trPr>
          <w:trHeight w:val="30" w:hRule="atLeast"/>
        </w:trPr>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5"/>
          <w:p>
            <w:pPr>
              <w:spacing w:after="20"/>
              <w:ind w:left="20"/>
              <w:jc w:val="both"/>
            </w:pPr>
            <w:r>
              <w:rPr>
                <w:rFonts w:ascii="Times New Roman"/>
                <w:b w:val="false"/>
                <w:i w:val="false"/>
                <w:color w:val="000000"/>
                <w:sz w:val="20"/>
              </w:rPr>
              <w:t>
Сессии</w:t>
            </w:r>
            <w:r>
              <w:br/>
            </w:r>
            <w:r>
              <w:rPr>
                <w:rFonts w:ascii="Times New Roman"/>
                <w:b w:val="false"/>
                <w:i w:val="false"/>
                <w:color w:val="000000"/>
                <w:sz w:val="20"/>
              </w:rPr>
              <w:t>
Парламента/</w:t>
            </w:r>
            <w:r>
              <w:br/>
            </w:r>
            <w:r>
              <w:rPr>
                <w:rFonts w:ascii="Times New Roman"/>
                <w:b w:val="false"/>
                <w:i w:val="false"/>
                <w:color w:val="000000"/>
                <w:sz w:val="20"/>
              </w:rPr>
              <w:t>
полугодия</w:t>
            </w:r>
            <w:r>
              <w:br/>
            </w:r>
            <w:r>
              <w:rPr>
                <w:rFonts w:ascii="Times New Roman"/>
                <w:b w:val="false"/>
                <w:i w:val="false"/>
                <w:color w:val="000000"/>
                <w:sz w:val="20"/>
              </w:rPr>
              <w:t>
 </w:t>
            </w:r>
          </w:p>
          <w:bookmarkEnd w:id="5"/>
        </w:tc>
        <w:tc>
          <w:tcPr>
            <w:tcW w:w="8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Отрасли (сферы) законодательства, в рамках которых будет осуществляться его совершенствование</w:t>
            </w:r>
            <w:r>
              <w:br/>
            </w:r>
            <w:r>
              <w:rPr>
                <w:rFonts w:ascii="Times New Roman"/>
                <w:b w:val="false"/>
                <w:i w:val="false"/>
                <w:color w:val="000000"/>
                <w:sz w:val="20"/>
              </w:rPr>
              <w:t>
 </w:t>
            </w:r>
          </w:p>
        </w:tc>
      </w:tr>
      <w:tr>
        <w:trPr>
          <w:trHeight w:val="30" w:hRule="atLeast"/>
        </w:trPr>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r>
              <w:br/>
            </w:r>
            <w:r>
              <w:rPr>
                <w:rFonts w:ascii="Times New Roman"/>
                <w:b w:val="false"/>
                <w:i w:val="false"/>
                <w:color w:val="000000"/>
                <w:sz w:val="20"/>
              </w:rPr>
              <w:t>
 </w:t>
            </w:r>
          </w:p>
        </w:tc>
        <w:tc>
          <w:tcPr>
            <w:tcW w:w="8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r>
              <w:br/>
            </w:r>
            <w:r>
              <w:rPr>
                <w:rFonts w:ascii="Times New Roman"/>
                <w:b w:val="false"/>
                <w:i w:val="false"/>
                <w:color w:val="000000"/>
                <w:sz w:val="20"/>
              </w:rPr>
              <w:t>
 </w:t>
            </w:r>
          </w:p>
        </w:tc>
      </w:tr>
      <w:tr>
        <w:trPr>
          <w:trHeight w:val="30" w:hRule="atLeast"/>
        </w:trPr>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6"/>
          <w:p>
            <w:pPr>
              <w:spacing w:after="20"/>
              <w:ind w:left="20"/>
              <w:jc w:val="both"/>
            </w:pPr>
            <w:r>
              <w:rPr>
                <w:rFonts w:ascii="Times New Roman"/>
                <w:b w:val="false"/>
                <w:i w:val="false"/>
                <w:color w:val="000000"/>
                <w:sz w:val="20"/>
              </w:rPr>
              <w:t>
</w:t>
            </w:r>
            <w:r>
              <w:rPr>
                <w:rFonts w:ascii="Times New Roman"/>
                <w:b/>
                <w:i w:val="false"/>
                <w:color w:val="000000"/>
                <w:sz w:val="20"/>
              </w:rPr>
              <w:t>2016- 2017 годы (2 сессия)</w:t>
            </w:r>
            <w:r>
              <w:br/>
            </w:r>
            <w:r>
              <w:rPr>
                <w:rFonts w:ascii="Times New Roman"/>
                <w:b w:val="false"/>
                <w:i w:val="false"/>
                <w:color w:val="000000"/>
                <w:sz w:val="20"/>
              </w:rPr>
              <w:t>
 </w:t>
            </w:r>
          </w:p>
          <w:bookmarkEnd w:id="6"/>
        </w:tc>
        <w:tc>
          <w:tcPr>
            <w:tcW w:w="8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Законодательство в сфере жилищных отношений; стандартизации и обеспечения единства измерений; местного самоуправления; электроэнергетики; рекламы; дактилоскопической и геномной </w:t>
            </w:r>
            <w:r>
              <w:rPr>
                <w:rFonts w:ascii="Times New Roman"/>
                <w:b/>
                <w:i w:val="false"/>
                <w:color w:val="000000"/>
                <w:sz w:val="20"/>
              </w:rPr>
              <w:t>регистрации; пробации; средств массовой информации; образования; административных правонарушений</w:t>
            </w:r>
            <w:r>
              <w:br/>
            </w:r>
            <w:r>
              <w:rPr>
                <w:rFonts w:ascii="Times New Roman"/>
                <w:b w:val="false"/>
                <w:i w:val="false"/>
                <w:color w:val="000000"/>
                <w:sz w:val="20"/>
              </w:rPr>
              <w:t>
 </w:t>
            </w:r>
          </w:p>
        </w:tc>
      </w:tr>
      <w:tr>
        <w:trPr>
          <w:trHeight w:val="30" w:hRule="atLeast"/>
        </w:trPr>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7"/>
          <w:p>
            <w:pPr>
              <w:spacing w:after="20"/>
              <w:ind w:left="20"/>
              <w:jc w:val="both"/>
            </w:pPr>
            <w:r>
              <w:rPr>
                <w:rFonts w:ascii="Times New Roman"/>
                <w:b w:val="false"/>
                <w:i w:val="false"/>
                <w:color w:val="000000"/>
                <w:sz w:val="20"/>
              </w:rPr>
              <w:t>
</w:t>
            </w:r>
            <w:r>
              <w:rPr>
                <w:rFonts w:ascii="Times New Roman"/>
                <w:b/>
                <w:i w:val="false"/>
                <w:color w:val="000000"/>
                <w:sz w:val="20"/>
              </w:rPr>
              <w:t>Второе полугодие 2016 года</w:t>
            </w:r>
            <w:r>
              <w:br/>
            </w:r>
            <w:r>
              <w:rPr>
                <w:rFonts w:ascii="Times New Roman"/>
                <w:b w:val="false"/>
                <w:i w:val="false"/>
                <w:color w:val="000000"/>
                <w:sz w:val="20"/>
              </w:rPr>
              <w:t>
 </w:t>
            </w:r>
          </w:p>
          <w:bookmarkEnd w:id="7"/>
        </w:tc>
        <w:tc>
          <w:tcPr>
            <w:tcW w:w="8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Совершенствование законодательства в сфере жилищных отношений</w:t>
            </w:r>
            <w:r>
              <w:br/>
            </w:r>
            <w:r>
              <w:rPr>
                <w:rFonts w:ascii="Times New Roman"/>
                <w:b w:val="false"/>
                <w:i w:val="false"/>
                <w:color w:val="000000"/>
                <w:sz w:val="20"/>
              </w:rPr>
              <w:t>
Повышение уровня социальной защищенности военнослужащих является важнейшей составляющей в вопросах эффективного выполнения возлагаемых на Вооруженные Силы, другие войска и воинские формирования задач.</w:t>
            </w:r>
            <w:r>
              <w:br/>
            </w:r>
            <w:r>
              <w:rPr>
                <w:rFonts w:ascii="Times New Roman"/>
                <w:b w:val="false"/>
                <w:i w:val="false"/>
                <w:color w:val="000000"/>
                <w:sz w:val="20"/>
              </w:rPr>
              <w:t>
В этой связи требуется принять законодательные меры по совершенствованию механизмов обеспечения жильем военнослужащих.</w:t>
            </w:r>
            <w:r>
              <w:br/>
            </w:r>
            <w:r>
              <w:rPr>
                <w:rFonts w:ascii="Times New Roman"/>
                <w:b w:val="false"/>
                <w:i w:val="false"/>
                <w:color w:val="000000"/>
                <w:sz w:val="20"/>
              </w:rPr>
              <w:t>
</w:t>
            </w:r>
            <w:r>
              <w:rPr>
                <w:rFonts w:ascii="Times New Roman"/>
                <w:b/>
                <w:i w:val="false"/>
                <w:color w:val="000000"/>
                <w:sz w:val="20"/>
              </w:rPr>
              <w:t>Совершенствование законодательства в сфере стандартизации и обеспечения единства измерений</w:t>
            </w:r>
            <w:r>
              <w:br/>
            </w:r>
            <w:r>
              <w:rPr>
                <w:rFonts w:ascii="Times New Roman"/>
                <w:b w:val="false"/>
                <w:i w:val="false"/>
                <w:color w:val="000000"/>
                <w:sz w:val="20"/>
              </w:rPr>
              <w:t>
Необходимы переориентация стандартов в области технического регулирования от их использования исключительно для функционирования технических регламентов к более широкому их применению, в том числе в целях создания надлежащих ориентиров качества продукции, приведения их в соответствие с современными запросами экономики и международными тенденциями развития стандартизации.</w:t>
            </w:r>
            <w:r>
              <w:br/>
            </w:r>
            <w:r>
              <w:rPr>
                <w:rFonts w:ascii="Times New Roman"/>
                <w:b w:val="false"/>
                <w:i w:val="false"/>
                <w:color w:val="000000"/>
                <w:sz w:val="20"/>
              </w:rPr>
              <w:t>
Наряду с этим требуется трансформация государственной системы обеспечения единства измерений в направлении усиления конкурентоспособности отечественной продукции и содействия развитию бизнеса.</w:t>
            </w:r>
            <w:r>
              <w:br/>
            </w:r>
            <w:r>
              <w:rPr>
                <w:rFonts w:ascii="Times New Roman"/>
                <w:b w:val="false"/>
                <w:i w:val="false"/>
                <w:color w:val="000000"/>
                <w:sz w:val="20"/>
              </w:rPr>
              <w:t>
</w:t>
            </w:r>
            <w:r>
              <w:rPr>
                <w:rFonts w:ascii="Times New Roman"/>
                <w:b/>
                <w:i w:val="false"/>
                <w:color w:val="000000"/>
                <w:sz w:val="20"/>
              </w:rPr>
              <w:t>Совершенствование законодательства в сфере местного самоуправления</w:t>
            </w:r>
            <w:r>
              <w:br/>
            </w:r>
            <w:r>
              <w:rPr>
                <w:rFonts w:ascii="Times New Roman"/>
                <w:b w:val="false"/>
                <w:i w:val="false"/>
                <w:color w:val="000000"/>
                <w:sz w:val="20"/>
              </w:rPr>
              <w:t>
В целях реализации пяти институциональных реформ Плана нации "100 конкретных шагов: современное государство для всех" и поступательного развития института местного самоуправления необходимо обеспечить дальнейшее разграничение функций местного государственного управления и самоуправления, а также формирование самостоятельного бюджета органов местного самоуправления (этап 2, шаг 98).</w:t>
            </w:r>
            <w:r>
              <w:br/>
            </w:r>
            <w:r>
              <w:rPr>
                <w:rFonts w:ascii="Times New Roman"/>
                <w:b w:val="false"/>
                <w:i w:val="false"/>
                <w:color w:val="000000"/>
                <w:sz w:val="20"/>
              </w:rPr>
              <w:t>
</w:t>
            </w:r>
            <w:r>
              <w:rPr>
                <w:rFonts w:ascii="Times New Roman"/>
                <w:b/>
                <w:i w:val="false"/>
                <w:color w:val="000000"/>
                <w:sz w:val="20"/>
              </w:rPr>
              <w:t>Совершенствование законодательства в сфере электроэнергетики</w:t>
            </w:r>
            <w:r>
              <w:br/>
            </w:r>
            <w:r>
              <w:rPr>
                <w:rFonts w:ascii="Times New Roman"/>
                <w:b w:val="false"/>
                <w:i w:val="false"/>
                <w:color w:val="000000"/>
                <w:sz w:val="20"/>
              </w:rPr>
              <w:t>
В целях реализации пяти институциональных реформ </w:t>
            </w:r>
            <w:r>
              <w:rPr>
                <w:rFonts w:ascii="Times New Roman"/>
                <w:b w:val="false"/>
                <w:i w:val="false"/>
                <w:color w:val="000000"/>
                <w:sz w:val="20"/>
              </w:rPr>
              <w:t>Плана нации</w:t>
            </w:r>
            <w:r>
              <w:rPr>
                <w:rFonts w:ascii="Times New Roman"/>
                <w:b w:val="false"/>
                <w:i w:val="false"/>
                <w:color w:val="000000"/>
                <w:sz w:val="20"/>
              </w:rPr>
              <w:t xml:space="preserve"> "100 конкретных шагов: современное государство для всех" в части повышения надежности энергоснабжения, снижения стоимости передачи и потребления электроэнергии необходимо сокращение количества региональных энергопередающих компаний с одновременным их укрупнением (шаг 51).</w:t>
            </w:r>
            <w:r>
              <w:br/>
            </w:r>
            <w:r>
              <w:rPr>
                <w:rFonts w:ascii="Times New Roman"/>
                <w:b w:val="false"/>
                <w:i w:val="false"/>
                <w:color w:val="000000"/>
                <w:sz w:val="20"/>
              </w:rPr>
              <w:t>
В этой связи требуется законодательно определить стимулирующие механизмы, способствующие эффективной реализации данной задачи.</w:t>
            </w:r>
            <w:r>
              <w:br/>
            </w:r>
            <w:r>
              <w:rPr>
                <w:rFonts w:ascii="Times New Roman"/>
                <w:b w:val="false"/>
                <w:i w:val="false"/>
                <w:color w:val="000000"/>
                <w:sz w:val="20"/>
              </w:rPr>
              <w:t>
</w:t>
            </w:r>
            <w:r>
              <w:rPr>
                <w:rFonts w:ascii="Times New Roman"/>
                <w:b/>
                <w:i w:val="false"/>
                <w:color w:val="000000"/>
                <w:sz w:val="20"/>
              </w:rPr>
              <w:t>Совершенствование законодательства в сфере рекламы</w:t>
            </w:r>
            <w:r>
              <w:br/>
            </w:r>
            <w:r>
              <w:rPr>
                <w:rFonts w:ascii="Times New Roman"/>
                <w:b w:val="false"/>
                <w:i w:val="false"/>
                <w:color w:val="000000"/>
                <w:sz w:val="20"/>
              </w:rPr>
              <w:t>
Для обеспечения потребителей достоверной информацией, получаемой посредством рекламы, необходимы правовые инструменты, которые обеспечат более эффективное государственное регулирование рекламной деятельности.</w:t>
            </w:r>
            <w:r>
              <w:br/>
            </w:r>
            <w:r>
              <w:rPr>
                <w:rFonts w:ascii="Times New Roman"/>
                <w:b w:val="false"/>
                <w:i w:val="false"/>
                <w:color w:val="000000"/>
                <w:sz w:val="20"/>
              </w:rPr>
              <w:t>
В этой связи потребуется принятие системных мер, направленных на обеспечение эффективной межотраслевой координации, а также конкретизацию ответственности за нарушение законодательства о рекламе.</w:t>
            </w:r>
            <w:r>
              <w:br/>
            </w:r>
            <w:r>
              <w:rPr>
                <w:rFonts w:ascii="Times New Roman"/>
                <w:b w:val="false"/>
                <w:i w:val="false"/>
                <w:color w:val="000000"/>
                <w:sz w:val="20"/>
              </w:rPr>
              <w:t>
</w:t>
            </w:r>
            <w:r>
              <w:rPr>
                <w:rFonts w:ascii="Times New Roman"/>
                <w:b/>
                <w:i w:val="false"/>
                <w:color w:val="000000"/>
                <w:sz w:val="20"/>
              </w:rPr>
              <w:t>Совершенствование законодательства в сфере дактилоскопической и геномной регистрации</w:t>
            </w:r>
            <w:r>
              <w:br/>
            </w:r>
            <w:r>
              <w:rPr>
                <w:rFonts w:ascii="Times New Roman"/>
                <w:b w:val="false"/>
                <w:i w:val="false"/>
                <w:color w:val="000000"/>
                <w:sz w:val="20"/>
              </w:rPr>
              <w:t>
В целях обеспечения безопасности личности, общества и государства в современных условиях информационно-технического развития требуется внедрение передовых технологий идентификации человека.</w:t>
            </w:r>
            <w:r>
              <w:br/>
            </w:r>
            <w:r>
              <w:rPr>
                <w:rFonts w:ascii="Times New Roman"/>
                <w:b w:val="false"/>
                <w:i w:val="false"/>
                <w:color w:val="000000"/>
                <w:sz w:val="20"/>
              </w:rPr>
              <w:t>
В этой связи с учетом лучшей зарубежной практики необходимо законодательно регламентировать вопросы сбора, обработки и защиты персональных дактилоскопических и геномных данных.</w:t>
            </w:r>
            <w:r>
              <w:br/>
            </w:r>
            <w:r>
              <w:rPr>
                <w:rFonts w:ascii="Times New Roman"/>
                <w:b w:val="false"/>
                <w:i w:val="false"/>
                <w:color w:val="000000"/>
                <w:sz w:val="20"/>
              </w:rPr>
              <w:t>
</w:t>
            </w:r>
            <w:r>
              <w:rPr>
                <w:rFonts w:ascii="Times New Roman"/>
                <w:b/>
                <w:i w:val="false"/>
                <w:color w:val="000000"/>
                <w:sz w:val="20"/>
              </w:rPr>
              <w:t>Совершенствование законодательства в сфере пробации</w:t>
            </w:r>
            <w:r>
              <w:br/>
            </w:r>
            <w:r>
              <w:rPr>
                <w:rFonts w:ascii="Times New Roman"/>
                <w:b w:val="false"/>
                <w:i w:val="false"/>
                <w:color w:val="000000"/>
                <w:sz w:val="20"/>
              </w:rPr>
              <w:t>
Планом нации "100 конкретных шагов: современное государство для всех" предусмотрены выстраивание эффективной системы социальной реабилитации граждан, освободившихся из мест лишения свободы и находящихся на учете службы пробации, а также разработка комплексной стратегии социальной реабилитации и стандарта специальных социальных услуг для таких граждан (шаг 33).</w:t>
            </w:r>
            <w:r>
              <w:br/>
            </w:r>
            <w:r>
              <w:rPr>
                <w:rFonts w:ascii="Times New Roman"/>
                <w:b w:val="false"/>
                <w:i w:val="false"/>
                <w:color w:val="000000"/>
                <w:sz w:val="20"/>
              </w:rPr>
              <w:t>
Реализация данных установок будет достигнута путем институционального реформирования системы пробации на законодательном уровне</w:t>
            </w:r>
            <w:r>
              <w:br/>
            </w:r>
            <w:r>
              <w:rPr>
                <w:rFonts w:ascii="Times New Roman"/>
                <w:b w:val="false"/>
                <w:i w:val="false"/>
                <w:color w:val="000000"/>
                <w:sz w:val="20"/>
              </w:rPr>
              <w:t>
 </w:t>
            </w:r>
          </w:p>
        </w:tc>
      </w:tr>
      <w:tr>
        <w:trPr>
          <w:trHeight w:val="30" w:hRule="atLeast"/>
        </w:trPr>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8"/>
          <w:p>
            <w:pPr>
              <w:spacing w:after="20"/>
              <w:ind w:left="20"/>
              <w:jc w:val="both"/>
            </w:pPr>
            <w:r>
              <w:rPr>
                <w:rFonts w:ascii="Times New Roman"/>
                <w:b w:val="false"/>
                <w:i w:val="false"/>
                <w:color w:val="000000"/>
                <w:sz w:val="20"/>
              </w:rPr>
              <w:t>
</w:t>
            </w:r>
            <w:r>
              <w:rPr>
                <w:rFonts w:ascii="Times New Roman"/>
                <w:b/>
                <w:i w:val="false"/>
                <w:color w:val="000000"/>
                <w:sz w:val="20"/>
              </w:rPr>
              <w:t>Первое полугодие 2017 года</w:t>
            </w:r>
            <w:r>
              <w:br/>
            </w:r>
            <w:r>
              <w:rPr>
                <w:rFonts w:ascii="Times New Roman"/>
                <w:b w:val="false"/>
                <w:i w:val="false"/>
                <w:color w:val="000000"/>
                <w:sz w:val="20"/>
              </w:rPr>
              <w:t>
 </w:t>
            </w:r>
          </w:p>
          <w:bookmarkEnd w:id="8"/>
        </w:tc>
        <w:tc>
          <w:tcPr>
            <w:tcW w:w="8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Совершенствование законодательства в сфере средств массовой информации</w:t>
            </w:r>
            <w:r>
              <w:br/>
            </w:r>
            <w:r>
              <w:rPr>
                <w:rFonts w:ascii="Times New Roman"/>
                <w:b w:val="false"/>
                <w:i w:val="false"/>
                <w:color w:val="000000"/>
                <w:sz w:val="20"/>
              </w:rPr>
              <w:t>
В целях правовой регламентации общественных отношений, трансформирующихся вслед за развитием технологий массовой коммуникации, необходимо совершенствовать законодательство в области средств массовой информации с привлечением всех заинтересованных сторон в информационной сфере.</w:t>
            </w:r>
            <w:r>
              <w:br/>
            </w:r>
            <w:r>
              <w:rPr>
                <w:rFonts w:ascii="Times New Roman"/>
                <w:b w:val="false"/>
                <w:i w:val="false"/>
                <w:color w:val="000000"/>
                <w:sz w:val="20"/>
              </w:rPr>
              <w:t>
Необходимо, в частности, предусмотреть техническую модернизацию отечественных средств массовой информации, дальнейшее расширение географии распространения казахстанских масс-медиа, повышение квалификации сотрудников, занятых в сфере реализации государственной информационной политики.</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xml:space="preserve"> Совершенствование законодательства в сфере образования</w:t>
            </w:r>
            <w:r>
              <w:br/>
            </w:r>
            <w:r>
              <w:rPr>
                <w:rFonts w:ascii="Times New Roman"/>
                <w:b w:val="false"/>
                <w:i w:val="false"/>
                <w:color w:val="000000"/>
                <w:sz w:val="20"/>
              </w:rPr>
              <w:t>
В целях реализации Плана нации "100 конкретных шагов: современное государство для всех" необходимы поэтапное расширение академической и управленческой самостоятельности высших учебных заведений с учетом опыта "Назарбаев Университета", трансформация частных высших учебных заведений в некоммерческие организации в соответствии с международной практикой (шаг 78).</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xml:space="preserve"> Совершенствование законодательства в сфере адм</w:t>
            </w:r>
            <w:r>
              <w:rPr>
                <w:rFonts w:ascii="Times New Roman"/>
                <w:b/>
                <w:i w:val="false"/>
                <w:color w:val="000000"/>
                <w:sz w:val="20"/>
              </w:rPr>
              <w:t>и</w:t>
            </w:r>
            <w:r>
              <w:rPr>
                <w:rFonts w:ascii="Times New Roman"/>
                <w:b/>
                <w:i w:val="false"/>
                <w:color w:val="000000"/>
                <w:sz w:val="20"/>
              </w:rPr>
              <w:t>нистративных правонарушений</w:t>
            </w:r>
            <w:r>
              <w:br/>
            </w:r>
            <w:r>
              <w:rPr>
                <w:rFonts w:ascii="Times New Roman"/>
                <w:b w:val="false"/>
                <w:i w:val="false"/>
                <w:color w:val="000000"/>
                <w:sz w:val="20"/>
              </w:rPr>
              <w:t>
Актуальными являются дальнейшее раскрытие резервов превентивного воздействия </w:t>
            </w:r>
            <w:r>
              <w:rPr>
                <w:rFonts w:ascii="Times New Roman"/>
                <w:b w:val="false"/>
                <w:i w:val="false"/>
                <w:color w:val="000000"/>
                <w:sz w:val="20"/>
              </w:rPr>
              <w:t>Кодекса</w:t>
            </w:r>
            <w:r>
              <w:rPr>
                <w:rFonts w:ascii="Times New Roman"/>
                <w:b w:val="false"/>
                <w:i w:val="false"/>
                <w:color w:val="000000"/>
                <w:sz w:val="20"/>
              </w:rPr>
              <w:t xml:space="preserve"> об административных правонарушениях, а также более широкое использование его профилактического потенциала. Основной задачей </w:t>
            </w:r>
            <w:r>
              <w:rPr>
                <w:rFonts w:ascii="Times New Roman"/>
                <w:b w:val="false"/>
                <w:i w:val="false"/>
                <w:color w:val="000000"/>
                <w:sz w:val="20"/>
              </w:rPr>
              <w:t>Кодекса</w:t>
            </w:r>
            <w:r>
              <w:rPr>
                <w:rFonts w:ascii="Times New Roman"/>
                <w:b w:val="false"/>
                <w:i w:val="false"/>
                <w:color w:val="000000"/>
                <w:sz w:val="20"/>
              </w:rPr>
              <w:t xml:space="preserve"> об административных правонарушениях должна являться защита законных прав, свобод и интересов граждан, организаций и бизнеса.</w:t>
            </w:r>
            <w:r>
              <w:br/>
            </w:r>
            <w:r>
              <w:rPr>
                <w:rFonts w:ascii="Times New Roman"/>
                <w:b w:val="false"/>
                <w:i w:val="false"/>
                <w:color w:val="000000"/>
                <w:sz w:val="20"/>
              </w:rPr>
              <w:t>
При этом совершенствование административно-деликтного законодательства должно осуществляться с учетом принципов адекватности и соразмерности административных взысканий совершенному правонарушению, а также принципа справедливого наложения административных взысканий.</w:t>
            </w:r>
            <w:r>
              <w:br/>
            </w:r>
            <w:r>
              <w:rPr>
                <w:rFonts w:ascii="Times New Roman"/>
                <w:b w:val="false"/>
                <w:i w:val="false"/>
                <w:color w:val="000000"/>
                <w:sz w:val="20"/>
              </w:rPr>
              <w:t>
Также в ходе совершенствования административно-деликтного законодательства требуется проработать вопросы ограничения частоты вносимых в </w:t>
            </w:r>
            <w:r>
              <w:rPr>
                <w:rFonts w:ascii="Times New Roman"/>
                <w:b w:val="false"/>
                <w:i w:val="false"/>
                <w:color w:val="000000"/>
                <w:sz w:val="20"/>
              </w:rPr>
              <w:t>Кодекс</w:t>
            </w:r>
            <w:r>
              <w:rPr>
                <w:rFonts w:ascii="Times New Roman"/>
                <w:b w:val="false"/>
                <w:i w:val="false"/>
                <w:color w:val="000000"/>
                <w:sz w:val="20"/>
              </w:rPr>
              <w:t xml:space="preserve"> об административных правонарушениях поправок в целях обеспечения его стабильности, а также введения моратория на установление новых штрафов или ужесточение действующих, усовершенствования процедуры анализа законодательных поправок с учетом прогнозирования последствий и готовности государственных и общественных институтов к исполнению вводимых в отраслевые законы запретительно- ограничительных или обязывающих норм</w:t>
            </w:r>
            <w:r>
              <w:br/>
            </w:r>
            <w:r>
              <w:rPr>
                <w:rFonts w:ascii="Times New Roman"/>
                <w:b w:val="false"/>
                <w:i w:val="false"/>
                <w:color w:val="000000"/>
                <w:sz w:val="20"/>
              </w:rPr>
              <w:t>
 </w:t>
            </w:r>
          </w:p>
        </w:tc>
      </w:tr>
      <w:tr>
        <w:trPr>
          <w:trHeight w:val="30" w:hRule="atLeast"/>
        </w:trPr>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9"/>
          <w:p>
            <w:pPr>
              <w:spacing w:after="20"/>
              <w:ind w:left="20"/>
              <w:jc w:val="both"/>
            </w:pPr>
            <w:r>
              <w:rPr>
                <w:rFonts w:ascii="Times New Roman"/>
                <w:b w:val="false"/>
                <w:i w:val="false"/>
                <w:color w:val="000000"/>
                <w:sz w:val="20"/>
              </w:rPr>
              <w:t>
</w:t>
            </w:r>
            <w:r>
              <w:rPr>
                <w:rFonts w:ascii="Times New Roman"/>
                <w:b/>
                <w:i w:val="false"/>
                <w:color w:val="000000"/>
                <w:sz w:val="20"/>
              </w:rPr>
              <w:t>2017- 2018 годы (3 сессия)</w:t>
            </w:r>
            <w:r>
              <w:br/>
            </w:r>
            <w:r>
              <w:rPr>
                <w:rFonts w:ascii="Times New Roman"/>
                <w:b w:val="false"/>
                <w:i w:val="false"/>
                <w:color w:val="000000"/>
                <w:sz w:val="20"/>
              </w:rPr>
              <w:t>
 </w:t>
            </w:r>
          </w:p>
          <w:bookmarkEnd w:id="9"/>
        </w:tc>
        <w:tc>
          <w:tcPr>
            <w:tcW w:w="8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Законодательство в сфере недропользования; налогообложения и таможенного дела; государственной статистики; семеноводства; государственного социального заказа; валютного регулирования и валютного контроля; страхования и страховой деятельности; системы государственного управления; восстановления платежеспособности граждан; противодействия незаконному обороту наркотических средств и психотропных веществ; безопасности гидротехнических сооружений; охраны и использования историко- культурного наследия; здравоохранения; образования и науки;</w:t>
            </w:r>
            <w:r>
              <w:rPr>
                <w:rFonts w:ascii="Times New Roman"/>
                <w:b/>
                <w:i w:val="false"/>
                <w:color w:val="000000"/>
                <w:sz w:val="20"/>
              </w:rPr>
              <w:t xml:space="preserve"> транспорта</w:t>
            </w:r>
            <w:r>
              <w:br/>
            </w:r>
            <w:r>
              <w:rPr>
                <w:rFonts w:ascii="Times New Roman"/>
                <w:b w:val="false"/>
                <w:i w:val="false"/>
                <w:color w:val="000000"/>
                <w:sz w:val="20"/>
              </w:rPr>
              <w:t>
 </w:t>
            </w:r>
          </w:p>
        </w:tc>
      </w:tr>
      <w:tr>
        <w:trPr>
          <w:trHeight w:val="30" w:hRule="atLeast"/>
        </w:trPr>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0"/>
          <w:p>
            <w:pPr>
              <w:spacing w:after="20"/>
              <w:ind w:left="20"/>
              <w:jc w:val="both"/>
            </w:pPr>
            <w:r>
              <w:rPr>
                <w:rFonts w:ascii="Times New Roman"/>
                <w:b w:val="false"/>
                <w:i w:val="false"/>
                <w:color w:val="000000"/>
                <w:sz w:val="20"/>
              </w:rPr>
              <w:t>
</w:t>
            </w:r>
            <w:r>
              <w:rPr>
                <w:rFonts w:ascii="Times New Roman"/>
                <w:b/>
                <w:i w:val="false"/>
                <w:color w:val="000000"/>
                <w:sz w:val="20"/>
              </w:rPr>
              <w:t>Второе полугодие 2017 года</w:t>
            </w:r>
            <w:r>
              <w:br/>
            </w:r>
            <w:r>
              <w:rPr>
                <w:rFonts w:ascii="Times New Roman"/>
                <w:b w:val="false"/>
                <w:i w:val="false"/>
                <w:color w:val="000000"/>
                <w:sz w:val="20"/>
              </w:rPr>
              <w:t>
 </w:t>
            </w:r>
          </w:p>
          <w:bookmarkEnd w:id="10"/>
        </w:tc>
        <w:tc>
          <w:tcPr>
            <w:tcW w:w="8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Совершенствование законодательства в сфере недропользования</w:t>
            </w:r>
            <w:r>
              <w:br/>
            </w:r>
            <w:r>
              <w:rPr>
                <w:rFonts w:ascii="Times New Roman"/>
                <w:b w:val="false"/>
                <w:i w:val="false"/>
                <w:color w:val="000000"/>
                <w:sz w:val="20"/>
              </w:rPr>
              <w:t>
В настоящее время законодательство в сфере недропользования состоит из разнородного массива нормативных правовых актов.</w:t>
            </w:r>
            <w:r>
              <w:br/>
            </w:r>
            <w:r>
              <w:rPr>
                <w:rFonts w:ascii="Times New Roman"/>
                <w:b w:val="false"/>
                <w:i w:val="false"/>
                <w:color w:val="000000"/>
                <w:sz w:val="20"/>
              </w:rPr>
              <w:t>
В целях повышения эффективности правового регулирования данной сферы требуется объединить и систематизировать нормы права, регулирующие в том числе смежные с недропользованием общественные отношения, в рамках единого кодифицированного законодательного акта.</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xml:space="preserve"> Совершенствование законодательства в сфере налогообложения и таможенного дела</w:t>
            </w:r>
            <w:r>
              <w:br/>
            </w:r>
            <w:r>
              <w:rPr>
                <w:rFonts w:ascii="Times New Roman"/>
                <w:b w:val="false"/>
                <w:i w:val="false"/>
                <w:color w:val="000000"/>
                <w:sz w:val="20"/>
              </w:rPr>
              <w:t>
В целях реализации Плана нации "100 конкретных шагов: современное государство для всех" (шаги 44 и 45) необходимо провести работу по кардинальному реформированию налоговой системы и таможенного администрирования, оптимизировать налоговые режимы, пересмотреть налоговые льготы, повысить прозрачность налогового и таможенного администрирования, а также унифицировать законодательство в этих сферах.</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xml:space="preserve"> Совершенствование законодательства в сфере государственной статистики</w:t>
            </w:r>
            <w:r>
              <w:br/>
            </w:r>
            <w:r>
              <w:rPr>
                <w:rFonts w:ascii="Times New Roman"/>
                <w:b w:val="false"/>
                <w:i w:val="false"/>
                <w:color w:val="000000"/>
                <w:sz w:val="20"/>
              </w:rPr>
              <w:t>
Необходимо актуализировать законодательство в области государственной статистики с целью обеспечения качества статистических процессов и продукции на институциональном уровне с учетом международной практики, а также международных стандартов и принципов.</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xml:space="preserve"> Совершенствование законодательства в сфере семеноводства</w:t>
            </w:r>
            <w:r>
              <w:br/>
            </w:r>
            <w:r>
              <w:rPr>
                <w:rFonts w:ascii="Times New Roman"/>
                <w:b w:val="false"/>
                <w:i w:val="false"/>
                <w:color w:val="000000"/>
                <w:sz w:val="20"/>
              </w:rPr>
              <w:t>
Необходимо модернизировать систему организации семеноводства, в том числе путем совершенствования механизмов государственного контроля и регулирования в данной сфере.</w:t>
            </w:r>
            <w:r>
              <w:br/>
            </w:r>
            <w:r>
              <w:rPr>
                <w:rFonts w:ascii="Times New Roman"/>
                <w:b w:val="false"/>
                <w:i w:val="false"/>
                <w:color w:val="000000"/>
                <w:sz w:val="20"/>
              </w:rPr>
              <w:t>
В этой связи требуется рассмотреть в том числе вопросы перераспределения функций и полномочий государственных органов в области семеноводства.</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xml:space="preserve"> Совершенствование законодательства в сфере государственного социального заказа</w:t>
            </w:r>
            <w:r>
              <w:br/>
            </w:r>
            <w:r>
              <w:rPr>
                <w:rFonts w:ascii="Times New Roman"/>
                <w:b w:val="false"/>
                <w:i w:val="false"/>
                <w:color w:val="000000"/>
                <w:sz w:val="20"/>
              </w:rPr>
              <w:t>
Необходимо создать законодательные условия для стимулирования социальной активности, социальной ответственности неправительственных организаций, расширения участия общественности в процессах формирования, мониторинга и оценки государственного социального заказа и развития партнерства государства, бизнеса и неправительственного сектора в социальной сфере.</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xml:space="preserve"> Совершенствование законодательства в сфере </w:t>
            </w:r>
            <w:r>
              <w:rPr>
                <w:rFonts w:ascii="Times New Roman"/>
                <w:b/>
                <w:i w:val="false"/>
                <w:color w:val="000000"/>
                <w:sz w:val="20"/>
              </w:rPr>
              <w:t>в</w:t>
            </w:r>
            <w:r>
              <w:rPr>
                <w:rFonts w:ascii="Times New Roman"/>
                <w:b/>
                <w:i w:val="false"/>
                <w:color w:val="000000"/>
                <w:sz w:val="20"/>
              </w:rPr>
              <w:t>алютного регулирования и валютного контроля</w:t>
            </w:r>
            <w:r>
              <w:br/>
            </w:r>
            <w:r>
              <w:rPr>
                <w:rFonts w:ascii="Times New Roman"/>
                <w:b w:val="false"/>
                <w:i w:val="false"/>
                <w:color w:val="000000"/>
                <w:sz w:val="20"/>
              </w:rPr>
              <w:t>
Требуется совершенствование механизмов валютного регулирования и валютного контроля в новых экономических условиях, в том числе посредством оптимизации основных процедур режимов валютного регулирования, что позволит снизить административные издержки для бизнеса.</w:t>
            </w:r>
            <w:r>
              <w:br/>
            </w:r>
            <w:r>
              <w:rPr>
                <w:rFonts w:ascii="Times New Roman"/>
                <w:b w:val="false"/>
                <w:i w:val="false"/>
                <w:color w:val="000000"/>
                <w:sz w:val="20"/>
              </w:rPr>
              <w:t>
В связи с вступлением Республики Казахстан во Всемирную торговую организацию необходимо также изменить подходы к определению резидентства и совершенствованию информационной базы по валютным операциям и потокам капитала.</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xml:space="preserve"> Совершенствование законодательства в сфере страхования и страховой деятельности</w:t>
            </w:r>
            <w:r>
              <w:br/>
            </w:r>
            <w:r>
              <w:rPr>
                <w:rFonts w:ascii="Times New Roman"/>
                <w:b w:val="false"/>
                <w:i w:val="false"/>
                <w:color w:val="000000"/>
                <w:sz w:val="20"/>
              </w:rPr>
              <w:t>
Требуется дальнейшее развитие страхового рынка. В частности, необходимо совершенствование законодательной и методологической базы, укрепление стабильности и надежности национальной страховой индустрии, повышение страховой культуры населения, обеспечение возможности расширения осведомленности населения о его правах в сфере страховых услуг.</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xml:space="preserve"> Совершенствование законодательства в сфере системы государственного управления</w:t>
            </w:r>
            <w:r>
              <w:br/>
            </w:r>
            <w:r>
              <w:rPr>
                <w:rFonts w:ascii="Times New Roman"/>
                <w:b w:val="false"/>
                <w:i w:val="false"/>
                <w:color w:val="000000"/>
                <w:sz w:val="20"/>
              </w:rPr>
              <w:t>
В целях реализации пяти институциональных реформ </w:t>
            </w:r>
            <w:r>
              <w:rPr>
                <w:rFonts w:ascii="Times New Roman"/>
                <w:b w:val="false"/>
                <w:i w:val="false"/>
                <w:color w:val="000000"/>
                <w:sz w:val="20"/>
              </w:rPr>
              <w:t>Плана нации</w:t>
            </w:r>
            <w:r>
              <w:rPr>
                <w:rFonts w:ascii="Times New Roman"/>
                <w:b w:val="false"/>
                <w:i w:val="false"/>
                <w:color w:val="000000"/>
                <w:sz w:val="20"/>
              </w:rPr>
              <w:t xml:space="preserve"> "100 конкретных шагов: современное государство для всех" необходимо передать несвойственные государству функции в конкурентную среду и саморегулируемым организациям, что позволит расширить участие граждан в процессе принятия решений (шаг 97).</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xml:space="preserve"> Совершенствование законодательства в сфере восстановления платежеспособности граждан</w:t>
            </w:r>
            <w:r>
              <w:br/>
            </w:r>
            <w:r>
              <w:rPr>
                <w:rFonts w:ascii="Times New Roman"/>
                <w:b w:val="false"/>
                <w:i w:val="false"/>
                <w:color w:val="000000"/>
                <w:sz w:val="20"/>
              </w:rPr>
              <w:t>
В целях создания условий для ослабления долговой нагрузки физических лиц требуется законодательно проработать вопрос введения института восстановления платежеспособности граждан. При этом необходимо предусмотреть меры, исключающие возможность использования данного института недобросовестными должниками для неисполнения своих обязательств.</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xml:space="preserve"> Совершенство</w:t>
            </w:r>
            <w:r>
              <w:rPr>
                <w:rFonts w:ascii="Times New Roman"/>
                <w:b/>
                <w:i w:val="false"/>
                <w:color w:val="000000"/>
                <w:sz w:val="20"/>
              </w:rPr>
              <w:t>вание законодательства в сфере п</w:t>
            </w:r>
            <w:r>
              <w:rPr>
                <w:rFonts w:ascii="Times New Roman"/>
                <w:b/>
                <w:i w:val="false"/>
                <w:color w:val="000000"/>
                <w:sz w:val="20"/>
              </w:rPr>
              <w:t>ротиводействия незаконному обороту наркотических средств и психотропных веществ</w:t>
            </w:r>
            <w:r>
              <w:br/>
            </w:r>
            <w:r>
              <w:rPr>
                <w:rFonts w:ascii="Times New Roman"/>
                <w:b w:val="false"/>
                <w:i w:val="false"/>
                <w:color w:val="000000"/>
                <w:sz w:val="20"/>
              </w:rPr>
              <w:t>
В целях повышения уровня защищенности неотъемлемых прав граждан на жизнь и здоровье требуется модернизация существующей законодательной антинаркотической системы для обеспечения адекватности и своевременности принимаемых государством мер в противодействии производству и распространению как в отношении уже существующих новых синтетических наркотиков, так и их видов, появление которых возможно в будущем</w:t>
            </w:r>
            <w:r>
              <w:br/>
            </w:r>
            <w:r>
              <w:rPr>
                <w:rFonts w:ascii="Times New Roman"/>
                <w:b w:val="false"/>
                <w:i w:val="false"/>
                <w:color w:val="000000"/>
                <w:sz w:val="20"/>
              </w:rPr>
              <w:t>
 </w:t>
            </w:r>
          </w:p>
        </w:tc>
      </w:tr>
      <w:tr>
        <w:trPr>
          <w:trHeight w:val="30" w:hRule="atLeast"/>
        </w:trPr>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1"/>
          <w:p>
            <w:pPr>
              <w:spacing w:after="20"/>
              <w:ind w:left="20"/>
              <w:jc w:val="both"/>
            </w:pPr>
            <w:r>
              <w:rPr>
                <w:rFonts w:ascii="Times New Roman"/>
                <w:b w:val="false"/>
                <w:i w:val="false"/>
                <w:color w:val="000000"/>
                <w:sz w:val="20"/>
              </w:rPr>
              <w:t>
</w:t>
            </w:r>
            <w:r>
              <w:rPr>
                <w:rFonts w:ascii="Times New Roman"/>
                <w:b/>
                <w:i w:val="false"/>
                <w:color w:val="000000"/>
                <w:sz w:val="20"/>
              </w:rPr>
              <w:t>Первое полугодие 2018 года</w:t>
            </w:r>
            <w:r>
              <w:br/>
            </w:r>
            <w:r>
              <w:rPr>
                <w:rFonts w:ascii="Times New Roman"/>
                <w:b w:val="false"/>
                <w:i w:val="false"/>
                <w:color w:val="000000"/>
                <w:sz w:val="20"/>
              </w:rPr>
              <w:t>
 </w:t>
            </w:r>
          </w:p>
          <w:bookmarkEnd w:id="11"/>
        </w:tc>
        <w:tc>
          <w:tcPr>
            <w:tcW w:w="8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Совершенствование законодательства в сфере безопасности гидротехнических сооружений</w:t>
            </w:r>
            <w:r>
              <w:br/>
            </w:r>
            <w:r>
              <w:rPr>
                <w:rFonts w:ascii="Times New Roman"/>
                <w:b w:val="false"/>
                <w:i w:val="false"/>
                <w:color w:val="000000"/>
                <w:sz w:val="20"/>
              </w:rPr>
              <w:t>
В целях повышения эффективности управления водными ресурсами, формирования действенной системы безопасности гидротехнических сооружений с учетом международного опыта их эксплуатации требуется на законодательном уровне разграничить функции участников процесса обеспечения безопасности гидротехнических сооружений с созданием эффективной системы их взаимодействия.</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xml:space="preserve"> Совершенствование законодательства в сфере охраны и использования историко-культурного наследия</w:t>
            </w:r>
            <w:r>
              <w:br/>
            </w:r>
            <w:r>
              <w:rPr>
                <w:rFonts w:ascii="Times New Roman"/>
                <w:b w:val="false"/>
                <w:i w:val="false"/>
                <w:color w:val="000000"/>
                <w:sz w:val="20"/>
              </w:rPr>
              <w:t>
Необходимо актуализировать законодательную базу в области охраны и использования объектов историко- культурного наследия, конкретизировать правовые механизмы регулирования археологической деятельности и проведения научно-реставрационных работ на объектах историко- культурного наследия.</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xml:space="preserve"> Совершенствование законодательства в сфере здравоохранения</w:t>
            </w:r>
            <w:r>
              <w:br/>
            </w:r>
            <w:r>
              <w:rPr>
                <w:rFonts w:ascii="Times New Roman"/>
                <w:b w:val="false"/>
                <w:i w:val="false"/>
                <w:color w:val="000000"/>
                <w:sz w:val="20"/>
              </w:rPr>
              <w:t>
Необходимо рассмотреть вопрос о страховании ответственности медицинских и фармацевтических работников за причинение вреда жизни и здоровью пациента при осуществлении профессиональной деятельности.</w:t>
            </w:r>
            <w:r>
              <w:br/>
            </w:r>
            <w:r>
              <w:rPr>
                <w:rFonts w:ascii="Times New Roman"/>
                <w:b w:val="false"/>
                <w:i w:val="false"/>
                <w:color w:val="000000"/>
                <w:sz w:val="20"/>
              </w:rPr>
              <w:t>
Также требует четкой регламентации право граждан на возмещение вреда, причиненного здоровью неквалифицированными действиями медицинских работников при назначении и применении лекарственных средств, изделий медицинского назначения и медицинской техники.</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xml:space="preserve"> Совершенствование законодательства в сфере образования и науки</w:t>
            </w:r>
            <w:r>
              <w:br/>
            </w:r>
            <w:r>
              <w:rPr>
                <w:rFonts w:ascii="Times New Roman"/>
                <w:b w:val="false"/>
                <w:i w:val="false"/>
                <w:color w:val="000000"/>
                <w:sz w:val="20"/>
              </w:rPr>
              <w:t>
В целях реализации </w:t>
            </w:r>
            <w:r>
              <w:rPr>
                <w:rFonts w:ascii="Times New Roman"/>
                <w:b w:val="false"/>
                <w:i w:val="false"/>
                <w:color w:val="000000"/>
                <w:sz w:val="20"/>
              </w:rPr>
              <w:t>Плана нации</w:t>
            </w:r>
            <w:r>
              <w:rPr>
                <w:rFonts w:ascii="Times New Roman"/>
                <w:b w:val="false"/>
                <w:i w:val="false"/>
                <w:color w:val="000000"/>
                <w:sz w:val="20"/>
              </w:rPr>
              <w:t xml:space="preserve"> "100 конкретных шагов: современное государство для всех" и повышения качества человеческого капитала на основе стандартов стран ОЭСР планируются в том числе внедрение подушевого Финансирования в старшей школе и создание системы стимулирования успешных школ (шаг 76).</w:t>
            </w:r>
            <w:r>
              <w:br/>
            </w:r>
            <w:r>
              <w:rPr>
                <w:rFonts w:ascii="Times New Roman"/>
                <w:b w:val="false"/>
                <w:i w:val="false"/>
                <w:color w:val="000000"/>
                <w:sz w:val="20"/>
              </w:rPr>
              <w:t>
Подушевое финансирование должно заключаться в переходе от финансирования затрат образовательных учреждений к финансированию затрат на обучение учащихся в зависимости от их численности.</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xml:space="preserve"> Совершенствование законодательства в сфере транспорта</w:t>
            </w:r>
            <w:r>
              <w:br/>
            </w:r>
            <w:r>
              <w:rPr>
                <w:rFonts w:ascii="Times New Roman"/>
                <w:b w:val="false"/>
                <w:i w:val="false"/>
                <w:color w:val="000000"/>
                <w:sz w:val="20"/>
              </w:rPr>
              <w:t>
Транспортная отрасль требует постоянного совершенствования законодательства в условиях динамично развивающейся рыночной среды и оптимизации функций транспортного контроля.</w:t>
            </w:r>
            <w:r>
              <w:br/>
            </w:r>
            <w:r>
              <w:rPr>
                <w:rFonts w:ascii="Times New Roman"/>
                <w:b w:val="false"/>
                <w:i w:val="false"/>
                <w:color w:val="000000"/>
                <w:sz w:val="20"/>
              </w:rPr>
              <w:t>
Реализация данных задач должна соответствовать целям формирования благоприятной предпринимательской среды и создания в целом условий для дальнейшего стабильного социально-экономического развития</w:t>
            </w:r>
            <w:r>
              <w:br/>
            </w:r>
            <w:r>
              <w:rPr>
                <w:rFonts w:ascii="Times New Roman"/>
                <w:b w:val="false"/>
                <w:i w:val="false"/>
                <w:color w:val="000000"/>
                <w:sz w:val="20"/>
              </w:rPr>
              <w:t>
 </w:t>
            </w:r>
          </w:p>
        </w:tc>
      </w:tr>
      <w:tr>
        <w:trPr>
          <w:trHeight w:val="30" w:hRule="atLeast"/>
        </w:trPr>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2"/>
          <w:p>
            <w:pPr>
              <w:spacing w:after="20"/>
              <w:ind w:left="20"/>
              <w:jc w:val="both"/>
            </w:pPr>
            <w:r>
              <w:rPr>
                <w:rFonts w:ascii="Times New Roman"/>
                <w:b w:val="false"/>
                <w:i w:val="false"/>
                <w:color w:val="000000"/>
                <w:sz w:val="20"/>
              </w:rPr>
              <w:t>
</w:t>
            </w:r>
            <w:r>
              <w:rPr>
                <w:rFonts w:ascii="Times New Roman"/>
                <w:b/>
                <w:i w:val="false"/>
                <w:color w:val="000000"/>
                <w:sz w:val="20"/>
              </w:rPr>
              <w:t>2018- 2019 годы (4 сессия)</w:t>
            </w:r>
            <w:r>
              <w:br/>
            </w:r>
            <w:r>
              <w:rPr>
                <w:rFonts w:ascii="Times New Roman"/>
                <w:b w:val="false"/>
                <w:i w:val="false"/>
                <w:color w:val="000000"/>
                <w:sz w:val="20"/>
              </w:rPr>
              <w:t>
 </w:t>
            </w:r>
          </w:p>
          <w:bookmarkEnd w:id="12"/>
        </w:tc>
        <w:tc>
          <w:tcPr>
            <w:tcW w:w="8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Законодательство в сфере оборота наркотических средств, психотропных веществ, их аналогов и прекурсоров и противодействия их незаконному обороту и злоупотреблению ими; регулирования парниковых газов и озоноразрушающих веществ; страхования в растениеводстве; модернизации экономических институтов, направленных на развитие конкуренции и частного сектора</w:t>
            </w:r>
            <w:r>
              <w:br/>
            </w:r>
            <w:r>
              <w:rPr>
                <w:rFonts w:ascii="Times New Roman"/>
                <w:b w:val="false"/>
                <w:i w:val="false"/>
                <w:color w:val="000000"/>
                <w:sz w:val="20"/>
              </w:rPr>
              <w:t>
 </w:t>
            </w:r>
          </w:p>
        </w:tc>
      </w:tr>
      <w:tr>
        <w:trPr>
          <w:trHeight w:val="30" w:hRule="atLeast"/>
        </w:trPr>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3"/>
          <w:p>
            <w:pPr>
              <w:spacing w:after="20"/>
              <w:ind w:left="20"/>
              <w:jc w:val="both"/>
            </w:pPr>
            <w:r>
              <w:rPr>
                <w:rFonts w:ascii="Times New Roman"/>
                <w:b w:val="false"/>
                <w:i w:val="false"/>
                <w:color w:val="000000"/>
                <w:sz w:val="20"/>
              </w:rPr>
              <w:t>
</w:t>
            </w:r>
            <w:r>
              <w:rPr>
                <w:rFonts w:ascii="Times New Roman"/>
                <w:b/>
                <w:i w:val="false"/>
                <w:color w:val="000000"/>
                <w:sz w:val="20"/>
              </w:rPr>
              <w:t>Второе полугодие 2018 года</w:t>
            </w:r>
            <w:r>
              <w:br/>
            </w:r>
            <w:r>
              <w:rPr>
                <w:rFonts w:ascii="Times New Roman"/>
                <w:b w:val="false"/>
                <w:i w:val="false"/>
                <w:color w:val="000000"/>
                <w:sz w:val="20"/>
              </w:rPr>
              <w:t>
 </w:t>
            </w:r>
          </w:p>
          <w:bookmarkEnd w:id="13"/>
        </w:tc>
        <w:tc>
          <w:tcPr>
            <w:tcW w:w="8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Совершенствование законодательства в сфере оборота наркотических средств, психотропных веществ, их аналогов и прекурсоров и противодействия их незаконному обороту и злоупотреблению ими</w:t>
            </w:r>
            <w:r>
              <w:br/>
            </w:r>
            <w:r>
              <w:rPr>
                <w:rFonts w:ascii="Times New Roman"/>
                <w:b w:val="false"/>
                <w:i w:val="false"/>
                <w:color w:val="000000"/>
                <w:sz w:val="20"/>
              </w:rPr>
              <w:t>
В целях принятия эффективных превентивных мер, направленных на сокращение распространения наркомании и связанных с ней правонарушений, необходимо законодательно регламентировать основания и порядок проведения наркотестирования, в том числе следует определить перечень лиц и профессий, подлежащих социально-психологическому тестированию на наркотики.</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xml:space="preserve"> Совершенство</w:t>
            </w:r>
            <w:r>
              <w:rPr>
                <w:rFonts w:ascii="Times New Roman"/>
                <w:b/>
                <w:i w:val="false"/>
                <w:color w:val="000000"/>
                <w:sz w:val="20"/>
              </w:rPr>
              <w:t>вание законодательства в сфере р</w:t>
            </w:r>
            <w:r>
              <w:rPr>
                <w:rFonts w:ascii="Times New Roman"/>
                <w:b/>
                <w:i w:val="false"/>
                <w:color w:val="000000"/>
                <w:sz w:val="20"/>
              </w:rPr>
              <w:t>егулирования парниковых газов и озоноразрушающих веществ</w:t>
            </w:r>
            <w:r>
              <w:br/>
            </w:r>
            <w:r>
              <w:rPr>
                <w:rFonts w:ascii="Times New Roman"/>
                <w:b w:val="false"/>
                <w:i w:val="false"/>
                <w:color w:val="000000"/>
                <w:sz w:val="20"/>
              </w:rPr>
              <w:t>
Следует продолжить работу по приведению национального законодательства в сфере регулирования парниковых газов и озоноразрушающих веществ в соответствие с принятыми международными обязательствами.</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xml:space="preserve"> Совершенствование законодательства в сфере страхования в растениеводстве</w:t>
            </w:r>
            <w:r>
              <w:br/>
            </w:r>
            <w:r>
              <w:rPr>
                <w:rFonts w:ascii="Times New Roman"/>
                <w:b w:val="false"/>
                <w:i w:val="false"/>
                <w:color w:val="000000"/>
                <w:sz w:val="20"/>
              </w:rPr>
              <w:t>
Необходимо повысить заинтересованность страховых компаний и производителей продукции в страховании в растениеводстве путем обеспечения защиты их имущественных интересов от последствий неблагоприятных природных явлений за счет максимально достаточных страховых выплат, улучшения уровня агротехнологий, а также оценки рисков</w:t>
            </w:r>
            <w:r>
              <w:br/>
            </w:r>
            <w:r>
              <w:rPr>
                <w:rFonts w:ascii="Times New Roman"/>
                <w:b w:val="false"/>
                <w:i w:val="false"/>
                <w:color w:val="000000"/>
                <w:sz w:val="20"/>
              </w:rPr>
              <w:t>
 </w:t>
            </w:r>
          </w:p>
        </w:tc>
      </w:tr>
      <w:tr>
        <w:trPr>
          <w:trHeight w:val="30" w:hRule="atLeast"/>
        </w:trPr>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4"/>
          <w:p>
            <w:pPr>
              <w:spacing w:after="20"/>
              <w:ind w:left="20"/>
              <w:jc w:val="both"/>
            </w:pPr>
            <w:r>
              <w:rPr>
                <w:rFonts w:ascii="Times New Roman"/>
                <w:b w:val="false"/>
                <w:i w:val="false"/>
                <w:color w:val="000000"/>
                <w:sz w:val="20"/>
              </w:rPr>
              <w:t>
</w:t>
            </w:r>
            <w:r>
              <w:rPr>
                <w:rFonts w:ascii="Times New Roman"/>
                <w:b/>
                <w:i w:val="false"/>
                <w:color w:val="000000"/>
                <w:sz w:val="20"/>
              </w:rPr>
              <w:t>Первое полугодие 2019 года</w:t>
            </w:r>
            <w:r>
              <w:br/>
            </w:r>
            <w:r>
              <w:rPr>
                <w:rFonts w:ascii="Times New Roman"/>
                <w:b w:val="false"/>
                <w:i w:val="false"/>
                <w:color w:val="000000"/>
                <w:sz w:val="20"/>
              </w:rPr>
              <w:t>
 </w:t>
            </w:r>
          </w:p>
          <w:bookmarkEnd w:id="14"/>
        </w:tc>
        <w:tc>
          <w:tcPr>
            <w:tcW w:w="8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Совершенствование законодательства в сфере модернизации экономических институтов, направленных на развитие конкуренции и частного сектора</w:t>
            </w:r>
            <w:r>
              <w:br/>
            </w:r>
            <w:r>
              <w:rPr>
                <w:rFonts w:ascii="Times New Roman"/>
                <w:b w:val="false"/>
                <w:i w:val="false"/>
                <w:color w:val="000000"/>
                <w:sz w:val="20"/>
              </w:rPr>
              <w:t>
Для поступательного развития конкуренции и частного сектора будут приняты меры, направленные на сокращение роли государства в экономике, поддержку малого и среднего бизнеса, совершенствование системы защиты интеллектуальной собственности.</w:t>
            </w:r>
            <w:r>
              <w:br/>
            </w:r>
            <w:r>
              <w:rPr>
                <w:rFonts w:ascii="Times New Roman"/>
                <w:b w:val="false"/>
                <w:i w:val="false"/>
                <w:color w:val="000000"/>
                <w:sz w:val="20"/>
              </w:rPr>
              <w:t>
Модернизации экономических институтов также будет способствовать дальнейшее совершенствование разрешительной системы</w:t>
            </w:r>
            <w:r>
              <w:br/>
            </w:r>
            <w:r>
              <w:rPr>
                <w:rFonts w:ascii="Times New Roman"/>
                <w:b w:val="false"/>
                <w:i w:val="false"/>
                <w:color w:val="000000"/>
                <w:sz w:val="20"/>
              </w:rPr>
              <w:t>
 </w:t>
            </w:r>
          </w:p>
        </w:tc>
      </w:tr>
      <w:tr>
        <w:trPr>
          <w:trHeight w:val="30" w:hRule="atLeast"/>
        </w:trPr>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5"/>
          <w:p>
            <w:pPr>
              <w:spacing w:after="20"/>
              <w:ind w:left="20"/>
              <w:jc w:val="both"/>
            </w:pPr>
            <w:r>
              <w:rPr>
                <w:rFonts w:ascii="Times New Roman"/>
                <w:b w:val="false"/>
                <w:i w:val="false"/>
                <w:color w:val="000000"/>
                <w:sz w:val="20"/>
              </w:rPr>
              <w:t>
</w:t>
            </w:r>
            <w:r>
              <w:rPr>
                <w:rFonts w:ascii="Times New Roman"/>
                <w:b/>
                <w:i w:val="false"/>
                <w:color w:val="000000"/>
                <w:sz w:val="20"/>
              </w:rPr>
              <w:t>2019- 2020 годы (5 сессия)</w:t>
            </w:r>
            <w:r>
              <w:br/>
            </w:r>
            <w:r>
              <w:rPr>
                <w:rFonts w:ascii="Times New Roman"/>
                <w:b w:val="false"/>
                <w:i w:val="false"/>
                <w:color w:val="000000"/>
                <w:sz w:val="20"/>
              </w:rPr>
              <w:t>
 </w:t>
            </w:r>
          </w:p>
          <w:bookmarkEnd w:id="15"/>
        </w:tc>
        <w:tc>
          <w:tcPr>
            <w:tcW w:w="8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Уголовное законодательство; законодательство в сфере водных ресурсов; религиозной деятельности и религиозных объединений</w:t>
            </w:r>
            <w:r>
              <w:br/>
            </w:r>
            <w:r>
              <w:rPr>
                <w:rFonts w:ascii="Times New Roman"/>
                <w:b w:val="false"/>
                <w:i w:val="false"/>
                <w:color w:val="000000"/>
                <w:sz w:val="20"/>
              </w:rPr>
              <w:t>
 </w:t>
            </w:r>
          </w:p>
        </w:tc>
      </w:tr>
      <w:tr>
        <w:trPr>
          <w:trHeight w:val="30" w:hRule="atLeast"/>
        </w:trPr>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6"/>
          <w:p>
            <w:pPr>
              <w:spacing w:after="20"/>
              <w:ind w:left="20"/>
              <w:jc w:val="both"/>
            </w:pPr>
            <w:r>
              <w:rPr>
                <w:rFonts w:ascii="Times New Roman"/>
                <w:b w:val="false"/>
                <w:i w:val="false"/>
                <w:color w:val="000000"/>
                <w:sz w:val="20"/>
              </w:rPr>
              <w:t>
</w:t>
            </w:r>
            <w:r>
              <w:rPr>
                <w:rFonts w:ascii="Times New Roman"/>
                <w:b/>
                <w:i w:val="false"/>
                <w:color w:val="000000"/>
                <w:sz w:val="20"/>
              </w:rPr>
              <w:t>Второе полугодие 2019 года</w:t>
            </w:r>
            <w:r>
              <w:br/>
            </w:r>
            <w:r>
              <w:rPr>
                <w:rFonts w:ascii="Times New Roman"/>
                <w:b w:val="false"/>
                <w:i w:val="false"/>
                <w:color w:val="000000"/>
                <w:sz w:val="20"/>
              </w:rPr>
              <w:t>
 </w:t>
            </w:r>
          </w:p>
          <w:bookmarkEnd w:id="16"/>
        </w:tc>
        <w:tc>
          <w:tcPr>
            <w:tcW w:w="8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Совершенствование уголовного законодательства</w:t>
            </w:r>
            <w:r>
              <w:br/>
            </w:r>
            <w:r>
              <w:rPr>
                <w:rFonts w:ascii="Times New Roman"/>
                <w:b w:val="false"/>
                <w:i w:val="false"/>
                <w:color w:val="000000"/>
                <w:sz w:val="20"/>
              </w:rPr>
              <w:t>
Приоритетом развития уголовного законодательства является дальнейшее повышение эффективности борьбы с преступностью и уголовно-правовой защиты прав и свобод человека и гражданина, интересов государства и общества.</w:t>
            </w:r>
            <w:r>
              <w:br/>
            </w:r>
            <w:r>
              <w:rPr>
                <w:rFonts w:ascii="Times New Roman"/>
                <w:b w:val="false"/>
                <w:i w:val="false"/>
                <w:color w:val="000000"/>
                <w:sz w:val="20"/>
              </w:rPr>
              <w:t>
Важными являются поступательное развитие уголовного права с учетом двухвекторности уголовной политики согласно концепции правовой политики Республики Казахстан на период с 2010 до 2020 года, а также адаптация уголовного законодательства к современным условиям.</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xml:space="preserve"> Совершенствование законодательства в сфере водных ресурсов</w:t>
            </w:r>
            <w:r>
              <w:br/>
            </w:r>
            <w:r>
              <w:rPr>
                <w:rFonts w:ascii="Times New Roman"/>
                <w:b w:val="false"/>
                <w:i w:val="false"/>
                <w:color w:val="000000"/>
                <w:sz w:val="20"/>
              </w:rPr>
              <w:t>
Качество водных ресурсов является одним из основных факторов устойчивого развития Казахстана, и его ухудшение может создать проблемы с обеспечением населения доброкачественной питьевой водой.</w:t>
            </w:r>
            <w:r>
              <w:br/>
            </w:r>
            <w:r>
              <w:rPr>
                <w:rFonts w:ascii="Times New Roman"/>
                <w:b w:val="false"/>
                <w:i w:val="false"/>
                <w:color w:val="000000"/>
                <w:sz w:val="20"/>
              </w:rPr>
              <w:t>
В этой связи необходимо выработать эффективную систему обеспечения безопасности природных водных ресурсов</w:t>
            </w:r>
            <w:r>
              <w:br/>
            </w:r>
            <w:r>
              <w:rPr>
                <w:rFonts w:ascii="Times New Roman"/>
                <w:b w:val="false"/>
                <w:i w:val="false"/>
                <w:color w:val="000000"/>
                <w:sz w:val="20"/>
              </w:rPr>
              <w:t>
 </w:t>
            </w:r>
          </w:p>
        </w:tc>
      </w:tr>
      <w:tr>
        <w:trPr>
          <w:trHeight w:val="30" w:hRule="atLeast"/>
        </w:trPr>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7"/>
          <w:p>
            <w:pPr>
              <w:spacing w:after="20"/>
              <w:ind w:left="20"/>
              <w:jc w:val="both"/>
            </w:pPr>
            <w:r>
              <w:rPr>
                <w:rFonts w:ascii="Times New Roman"/>
                <w:b w:val="false"/>
                <w:i w:val="false"/>
                <w:color w:val="000000"/>
                <w:sz w:val="20"/>
              </w:rPr>
              <w:t>
</w:t>
            </w:r>
            <w:r>
              <w:rPr>
                <w:rFonts w:ascii="Times New Roman"/>
                <w:b/>
                <w:i w:val="false"/>
                <w:color w:val="000000"/>
                <w:sz w:val="20"/>
              </w:rPr>
              <w:t>Первое полугодие 2020 года</w:t>
            </w:r>
            <w:r>
              <w:br/>
            </w:r>
            <w:r>
              <w:rPr>
                <w:rFonts w:ascii="Times New Roman"/>
                <w:b w:val="false"/>
                <w:i w:val="false"/>
                <w:color w:val="000000"/>
                <w:sz w:val="20"/>
              </w:rPr>
              <w:t>
 </w:t>
            </w:r>
          </w:p>
          <w:bookmarkEnd w:id="17"/>
        </w:tc>
        <w:tc>
          <w:tcPr>
            <w:tcW w:w="8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Совершенствование законодательства в сфере религиозной деятельности и религиозных объединений</w:t>
            </w:r>
            <w:r>
              <w:br/>
            </w:r>
            <w:r>
              <w:rPr>
                <w:rFonts w:ascii="Times New Roman"/>
                <w:b w:val="false"/>
                <w:i w:val="false"/>
                <w:color w:val="000000"/>
                <w:sz w:val="20"/>
              </w:rPr>
              <w:t>
Необходимо в дальнейшем совершенствовать область регулирования миссионерской и религиозной деятельности, а также деятельности по распространению религиозной литературы и иных информационных материалов религиозного содержания, предметов религиозного назначения</w:t>
            </w:r>
            <w:r>
              <w:br/>
            </w:r>
            <w:r>
              <w:rPr>
                <w:rFonts w:ascii="Times New Roman"/>
                <w:b w:val="false"/>
                <w:i w:val="false"/>
                <w:color w:val="000000"/>
                <w:sz w:val="20"/>
              </w:rPr>
              <w:t>
 </w:t>
            </w:r>
          </w:p>
        </w:tc>
      </w:tr>
      <w:tr>
        <w:trPr>
          <w:trHeight w:val="30" w:hRule="atLeast"/>
        </w:trPr>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8"/>
          <w:p>
            <w:pPr>
              <w:spacing w:after="20"/>
              <w:ind w:left="20"/>
              <w:jc w:val="both"/>
            </w:pPr>
            <w:r>
              <w:rPr>
                <w:rFonts w:ascii="Times New Roman"/>
                <w:b w:val="false"/>
                <w:i w:val="false"/>
                <w:color w:val="000000"/>
                <w:sz w:val="20"/>
              </w:rPr>
              <w:t>
</w:t>
            </w:r>
            <w:r>
              <w:rPr>
                <w:rFonts w:ascii="Times New Roman"/>
                <w:b/>
                <w:i w:val="false"/>
                <w:color w:val="000000"/>
                <w:sz w:val="20"/>
              </w:rPr>
              <w:t>2020- 2021 годы (6 сессия)</w:t>
            </w:r>
            <w:r>
              <w:br/>
            </w:r>
            <w:r>
              <w:rPr>
                <w:rFonts w:ascii="Times New Roman"/>
                <w:b w:val="false"/>
                <w:i w:val="false"/>
                <w:color w:val="000000"/>
                <w:sz w:val="20"/>
              </w:rPr>
              <w:t>
 </w:t>
            </w:r>
          </w:p>
          <w:bookmarkEnd w:id="18"/>
        </w:tc>
        <w:tc>
          <w:tcPr>
            <w:tcW w:w="8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Законодательство в сфере деятельности микрофинансовых организаций; по переходу Республики Казахстан к "зеленой экономике"</w:t>
            </w:r>
            <w:r>
              <w:br/>
            </w:r>
            <w:r>
              <w:rPr>
                <w:rFonts w:ascii="Times New Roman"/>
                <w:b w:val="false"/>
                <w:i w:val="false"/>
                <w:color w:val="000000"/>
                <w:sz w:val="20"/>
              </w:rPr>
              <w:t>
 </w:t>
            </w:r>
          </w:p>
        </w:tc>
      </w:tr>
      <w:tr>
        <w:trPr>
          <w:trHeight w:val="30" w:hRule="atLeast"/>
        </w:trPr>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19"/>
          <w:p>
            <w:pPr>
              <w:spacing w:after="20"/>
              <w:ind w:left="20"/>
              <w:jc w:val="both"/>
            </w:pPr>
            <w:r>
              <w:rPr>
                <w:rFonts w:ascii="Times New Roman"/>
                <w:b w:val="false"/>
                <w:i w:val="false"/>
                <w:color w:val="000000"/>
                <w:sz w:val="20"/>
              </w:rPr>
              <w:t>
</w:t>
            </w:r>
            <w:r>
              <w:rPr>
                <w:rFonts w:ascii="Times New Roman"/>
                <w:b/>
                <w:i w:val="false"/>
                <w:color w:val="000000"/>
                <w:sz w:val="20"/>
              </w:rPr>
              <w:t>Второе полугодие 2020 года</w:t>
            </w:r>
            <w:r>
              <w:br/>
            </w:r>
            <w:r>
              <w:rPr>
                <w:rFonts w:ascii="Times New Roman"/>
                <w:b w:val="false"/>
                <w:i w:val="false"/>
                <w:color w:val="000000"/>
                <w:sz w:val="20"/>
              </w:rPr>
              <w:t>
 </w:t>
            </w:r>
          </w:p>
          <w:bookmarkEnd w:id="19"/>
        </w:tc>
        <w:tc>
          <w:tcPr>
            <w:tcW w:w="8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Совершенствование законодательства в сфере деятельности микрофинансовых организаций</w:t>
            </w:r>
            <w:r>
              <w:br/>
            </w:r>
            <w:r>
              <w:rPr>
                <w:rFonts w:ascii="Times New Roman"/>
                <w:b w:val="false"/>
                <w:i w:val="false"/>
                <w:color w:val="000000"/>
                <w:sz w:val="20"/>
              </w:rPr>
              <w:t>
После завершения переходного периода, предусмотренного для микрокредитных организаций, который согласно Концепции развития финансового сектора Республики Казахстан ориентировочно завершится к 2020 году, на основании полученной информации в рамках контроля и надзора за данными организациями будут рассмотрены возможности внедрения новых услуг микрофинансовых организаций, а также введения новых регуляторных требований</w:t>
            </w:r>
            <w:r>
              <w:br/>
            </w:r>
            <w:r>
              <w:rPr>
                <w:rFonts w:ascii="Times New Roman"/>
                <w:b w:val="false"/>
                <w:i w:val="false"/>
                <w:color w:val="000000"/>
                <w:sz w:val="20"/>
              </w:rPr>
              <w:t>
 </w:t>
            </w:r>
          </w:p>
        </w:tc>
      </w:tr>
      <w:tr>
        <w:trPr>
          <w:trHeight w:val="30" w:hRule="atLeast"/>
        </w:trPr>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20"/>
          <w:p>
            <w:pPr>
              <w:spacing w:after="20"/>
              <w:ind w:left="20"/>
              <w:jc w:val="both"/>
            </w:pPr>
            <w:r>
              <w:rPr>
                <w:rFonts w:ascii="Times New Roman"/>
                <w:b w:val="false"/>
                <w:i w:val="false"/>
                <w:color w:val="000000"/>
                <w:sz w:val="20"/>
              </w:rPr>
              <w:t>
</w:t>
            </w:r>
            <w:r>
              <w:rPr>
                <w:rFonts w:ascii="Times New Roman"/>
                <w:b/>
                <w:i w:val="false"/>
                <w:color w:val="000000"/>
                <w:sz w:val="20"/>
              </w:rPr>
              <w:t>Первое полугодие 2021 года</w:t>
            </w:r>
            <w:r>
              <w:br/>
            </w:r>
            <w:r>
              <w:rPr>
                <w:rFonts w:ascii="Times New Roman"/>
                <w:b w:val="false"/>
                <w:i w:val="false"/>
                <w:color w:val="000000"/>
                <w:sz w:val="20"/>
              </w:rPr>
              <w:t>
 </w:t>
            </w:r>
          </w:p>
          <w:bookmarkEnd w:id="20"/>
        </w:tc>
        <w:tc>
          <w:tcPr>
            <w:tcW w:w="8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Совершенствование законодательства по переходу Республики Казахстан к "зеленой экономике"</w:t>
            </w:r>
            <w:r>
              <w:br/>
            </w:r>
            <w:r>
              <w:rPr>
                <w:rFonts w:ascii="Times New Roman"/>
                <w:b w:val="false"/>
                <w:i w:val="false"/>
                <w:color w:val="000000"/>
                <w:sz w:val="20"/>
              </w:rPr>
              <w:t>
В целях реализации второго этапа (2020-2030 годы) Концепции по переходу Республики Казахстан к "зеленой экономике" требуется преобразование национальной экономики с ориентацией на бережное использование воды, поощрение и стимулирование развития и широкое внедрение технологий возобновляемой энергетики</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