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5ef5" w14:textId="f905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алфавита казахского языка с кириллицы на латинскую графику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октября 2017 года № 569.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республиканской печати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перевода алфавита казахского языка с кириллицы на латинскую графику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алфавит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казахского языка, основанный на латинской графике.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образовать Национальную комиссию по переводу алфавита казахского языка на латинскую графику;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поэтапный перевод алфавита казахского языка на латинскую графику до 2025 года;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иные меры по реализации настоящего Указа, в том числе организационного и законодательного характера.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Указа возложить на Администрацию Президента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его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569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</w:t>
      </w:r>
      <w:r>
        <w:br/>
      </w:r>
      <w:r>
        <w:rPr>
          <w:rFonts w:ascii="Times New Roman"/>
          <w:b/>
          <w:i w:val="false"/>
          <w:color w:val="000000"/>
        </w:rPr>
        <w:t>казахского языка, основанный на латинской графике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Алфавит в редакции Указа Президента РК от 19.02.2018 </w:t>
      </w:r>
      <w:r>
        <w:rPr>
          <w:rFonts w:ascii="Times New Roman"/>
          <w:b w:val="false"/>
          <w:i w:val="false"/>
          <w:color w:val="ff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6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