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f76e0" w14:textId="08f76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Концептуального плана законотворческой работы на 2021 – 2026 годы (седьмой созыв Парламента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24 мая 2021 года № 582.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6 апреля 2016 года "О правовых актах"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Концептуальный план</w:t>
      </w:r>
      <w:r>
        <w:rPr>
          <w:rFonts w:ascii="Times New Roman"/>
          <w:b w:val="false"/>
          <w:i w:val="false"/>
          <w:color w:val="000000"/>
          <w:sz w:val="28"/>
        </w:rPr>
        <w:t xml:space="preserve"> законотворческой работы на 2021 – 2026 годы (седьмой созыв Парламента Республики Казахстан) (далее – Концептуальный план).</w:t>
      </w:r>
    </w:p>
    <w:bookmarkEnd w:id="1"/>
    <w:bookmarkStart w:name="z6" w:id="2"/>
    <w:p>
      <w:pPr>
        <w:spacing w:after="0"/>
        <w:ind w:left="0"/>
        <w:jc w:val="both"/>
      </w:pPr>
      <w:r>
        <w:rPr>
          <w:rFonts w:ascii="Times New Roman"/>
          <w:b w:val="false"/>
          <w:i w:val="false"/>
          <w:color w:val="000000"/>
          <w:sz w:val="28"/>
        </w:rPr>
        <w:t>
      2. Правительству Республики Казахстан:</w:t>
      </w:r>
    </w:p>
    <w:bookmarkEnd w:id="2"/>
    <w:bookmarkStart w:name="z7" w:id="3"/>
    <w:p>
      <w:pPr>
        <w:spacing w:after="0"/>
        <w:ind w:left="0"/>
        <w:jc w:val="both"/>
      </w:pPr>
      <w:r>
        <w:rPr>
          <w:rFonts w:ascii="Times New Roman"/>
          <w:b w:val="false"/>
          <w:i w:val="false"/>
          <w:color w:val="000000"/>
          <w:sz w:val="28"/>
        </w:rPr>
        <w:t>
      1) обеспечить реализацию Концептуального плана;</w:t>
      </w:r>
    </w:p>
    <w:bookmarkEnd w:id="3"/>
    <w:bookmarkStart w:name="z8" w:id="4"/>
    <w:p>
      <w:pPr>
        <w:spacing w:after="0"/>
        <w:ind w:left="0"/>
        <w:jc w:val="both"/>
      </w:pPr>
      <w:r>
        <w:rPr>
          <w:rFonts w:ascii="Times New Roman"/>
          <w:b w:val="false"/>
          <w:i w:val="false"/>
          <w:color w:val="000000"/>
          <w:sz w:val="28"/>
        </w:rPr>
        <w:t>
      2) ежегодно к 25 января по итогам года представлять в Администрацию Президента Республики Казахстан информацию о ходе выполнения Концептуального плана.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5"/>
    <w:bookmarkStart w:name="z10" w:id="6"/>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24 мая 2021 года № 582  </w:t>
            </w:r>
          </w:p>
        </w:tc>
      </w:tr>
    </w:tbl>
    <w:bookmarkStart w:name="z13" w:id="7"/>
    <w:p>
      <w:pPr>
        <w:spacing w:after="0"/>
        <w:ind w:left="0"/>
        <w:jc w:val="left"/>
      </w:pPr>
      <w:r>
        <w:rPr>
          <w:rFonts w:ascii="Times New Roman"/>
          <w:b/>
          <w:i w:val="false"/>
          <w:color w:val="000000"/>
        </w:rPr>
        <w:t xml:space="preserve"> КОНЦЕПТУАЛЬНЫЙ ПЛАН </w:t>
      </w:r>
      <w:r>
        <w:br/>
      </w:r>
      <w:r>
        <w:rPr>
          <w:rFonts w:ascii="Times New Roman"/>
          <w:b/>
          <w:i w:val="false"/>
          <w:color w:val="000000"/>
        </w:rPr>
        <w:t xml:space="preserve">законотворческой работы на 2021-2026 годы </w:t>
      </w:r>
      <w:r>
        <w:br/>
      </w:r>
      <w:r>
        <w:rPr>
          <w:rFonts w:ascii="Times New Roman"/>
          <w:b/>
          <w:i w:val="false"/>
          <w:color w:val="000000"/>
        </w:rPr>
        <w:t xml:space="preserve">(седьмой созыв Парламента Республики Казахстан)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4"/>
        <w:gridCol w:w="9756"/>
      </w:tblGrid>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Сессии</w:t>
            </w:r>
            <w:r>
              <w:br/>
            </w:r>
            <w:r>
              <w:rPr>
                <w:rFonts w:ascii="Times New Roman"/>
                <w:b w:val="false"/>
                <w:i w:val="false"/>
                <w:color w:val="000000"/>
                <w:sz w:val="20"/>
              </w:rPr>
              <w:t>Парламента/</w:t>
            </w:r>
            <w:r>
              <w:br/>
            </w:r>
            <w:r>
              <w:rPr>
                <w:rFonts w:ascii="Times New Roman"/>
                <w:b w:val="false"/>
                <w:i w:val="false"/>
                <w:color w:val="000000"/>
                <w:sz w:val="20"/>
              </w:rPr>
              <w:t>полугодия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Отрасли (сферы) законодательства, </w:t>
            </w:r>
            <w:r>
              <w:br/>
            </w:r>
            <w:r>
              <w:rPr>
                <w:rFonts w:ascii="Times New Roman"/>
                <w:b w:val="false"/>
                <w:i w:val="false"/>
                <w:color w:val="000000"/>
                <w:sz w:val="20"/>
              </w:rPr>
              <w:t>в рамках которых будет осуществляться его совершенствование</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2022 годы </w:t>
            </w:r>
            <w:r>
              <w:br/>
            </w:r>
            <w:r>
              <w:rPr>
                <w:rFonts w:ascii="Times New Roman"/>
                <w:b w:val="false"/>
                <w:i w:val="false"/>
                <w:color w:val="000000"/>
                <w:sz w:val="20"/>
              </w:rPr>
              <w:t>(2 сессия)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сфере благотворительности; волонтерской деятельности; о судебной системе и статусе судей, модернизации судебной системы; стимулирования инноваций, развития цифровизации и информационной безопасности; защиты персональных данных; государственной молодежной политики; кинематографии; геодезии, картографии и пространственных данных; государственного социального заказа; прохождения правоохранительной службы; внедрения трехзвенной модели с разграничением полномочий и зон ответственности между правоохранительными органами, прокуратурой и судом; образования; науки; органов внутренних дел; конституционного права; гражданского права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w:t>
            </w:r>
            <w:r>
              <w:br/>
            </w:r>
            <w:r>
              <w:rPr>
                <w:rFonts w:ascii="Times New Roman"/>
                <w:b w:val="false"/>
                <w:i w:val="false"/>
                <w:color w:val="000000"/>
                <w:sz w:val="20"/>
              </w:rPr>
              <w:t>2021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Совершенствование законодательства в сфере благотворительности</w:t>
            </w:r>
            <w:r>
              <w:br/>
            </w:r>
            <w:r>
              <w:rPr>
                <w:rFonts w:ascii="Times New Roman"/>
                <w:b w:val="false"/>
                <w:i w:val="false"/>
                <w:color w:val="000000"/>
                <w:sz w:val="20"/>
              </w:rPr>
              <w:t>
</w:t>
            </w:r>
            <w:r>
              <w:rPr>
                <w:rFonts w:ascii="Times New Roman"/>
                <w:b w:val="false"/>
                <w:i w:val="false"/>
                <w:color w:val="000000"/>
                <w:sz w:val="20"/>
              </w:rPr>
              <w:t>Несмотря на существенный объем реализуемых мер и инициатив, проведенный анализ и социальные замеры фиксируют низкую степень развития сферы благотворительности. Действующий Закон "О благотворительности" не смог решить имеющиеся проблемы. В этой связи требуется принять законодательные меры по совершенствованию действующего законодательства, в том числе направленные на стимулирование и популяризацию благотворительности среди граждан, обеспечение прозрачности, а также устранение имеющихся в Законе коллизий.</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волонтҰрской деятельности</w:t>
            </w:r>
            <w:r>
              <w:br/>
            </w:r>
            <w:r>
              <w:rPr>
                <w:rFonts w:ascii="Times New Roman"/>
                <w:b w:val="false"/>
                <w:i w:val="false"/>
                <w:color w:val="000000"/>
                <w:sz w:val="20"/>
              </w:rPr>
              <w:t>
</w:t>
            </w:r>
            <w:r>
              <w:rPr>
                <w:rFonts w:ascii="Times New Roman"/>
                <w:b w:val="false"/>
                <w:i w:val="false"/>
                <w:color w:val="000000"/>
                <w:sz w:val="20"/>
              </w:rPr>
              <w:t>В целях реализации Плана мероприятий по проведению Года волонтера от 16 января 2020 года № 3, на основе анализа практики волонтерской деятельности в Казахстане и международного опыта необходимо совершенствование законодательства в сфере волонтерской деятельности. В частности, необходимо предусмотреть меры по стимулированию включения опыта работы волонтера в трудовой стаж, учету волонтерской деятельности при поступлении в колледжи и вузы и др.</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о судебной системе и статусе судей, модернизация судебной системы</w:t>
            </w:r>
            <w:r>
              <w:br/>
            </w:r>
            <w:r>
              <w:rPr>
                <w:rFonts w:ascii="Times New Roman"/>
                <w:b w:val="false"/>
                <w:i w:val="false"/>
                <w:color w:val="000000"/>
                <w:sz w:val="20"/>
              </w:rPr>
              <w:t>
</w:t>
            </w:r>
            <w:r>
              <w:rPr>
                <w:rFonts w:ascii="Times New Roman"/>
                <w:b w:val="false"/>
                <w:i w:val="false"/>
                <w:color w:val="000000"/>
                <w:sz w:val="20"/>
              </w:rPr>
              <w:t>Требуется дальнейшее законодательное совершенствование системы отправления правосудия, в том числе системы отбора, оценки судей и повышения их ответственности, судебного образования и обеспечения независимости судей.</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стимулирования инноваций, развития цифровизации и информационной безопасности</w:t>
            </w:r>
            <w:r>
              <w:br/>
            </w:r>
            <w:r>
              <w:rPr>
                <w:rFonts w:ascii="Times New Roman"/>
                <w:b w:val="false"/>
                <w:i w:val="false"/>
                <w:color w:val="000000"/>
                <w:sz w:val="20"/>
              </w:rPr>
              <w:t>
</w:t>
            </w:r>
            <w:r>
              <w:rPr>
                <w:rFonts w:ascii="Times New Roman"/>
                <w:b w:val="false"/>
                <w:i w:val="false"/>
                <w:color w:val="000000"/>
                <w:sz w:val="20"/>
              </w:rPr>
              <w:t>Предусматривается внесение изменений и дополнений в действующие законодательные акты в части упрощения бюджетных процедур при согласовании проектов в сфере цифровизации, стимулирования венчурного финансирования, развития цифровизации в различных отраслях, единства подходов к обеспечению информационной безопасности объектов информатизации, поддержания требуемого уровня защищенности объектов информатизации, информационно-коммуникационной инфраструктуры.</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персональных данных и их защиты</w:t>
            </w:r>
            <w:r>
              <w:br/>
            </w:r>
            <w:r>
              <w:rPr>
                <w:rFonts w:ascii="Times New Roman"/>
                <w:b w:val="false"/>
                <w:i w:val="false"/>
                <w:color w:val="000000"/>
                <w:sz w:val="20"/>
              </w:rPr>
              <w:t>
</w:t>
            </w:r>
            <w:r>
              <w:rPr>
                <w:rFonts w:ascii="Times New Roman"/>
                <w:b w:val="false"/>
                <w:i w:val="false"/>
                <w:color w:val="000000"/>
                <w:sz w:val="20"/>
              </w:rPr>
              <w:t>С проникновением цифровых сервисов в нашу жизнь возрастают риски утечки персональных данных. В этой связи предлагается ввести государственный контроль за соблюдением законодательства в сфере персональных данных и их защиты, учет операторов персональных данных и сервис по контролю доступа к персональным данным граждан.</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государственной молодежной политики</w:t>
            </w:r>
            <w:r>
              <w:br/>
            </w:r>
            <w:r>
              <w:rPr>
                <w:rFonts w:ascii="Times New Roman"/>
                <w:b w:val="false"/>
                <w:i w:val="false"/>
                <w:color w:val="000000"/>
                <w:sz w:val="20"/>
              </w:rPr>
              <w:t>
</w:t>
            </w:r>
            <w:r>
              <w:rPr>
                <w:rFonts w:ascii="Times New Roman"/>
                <w:b w:val="false"/>
                <w:i w:val="false"/>
                <w:color w:val="000000"/>
                <w:sz w:val="20"/>
              </w:rPr>
              <w:t>В целях укрепления мер по повышению потенциала и поддержке молодежи предлагаются законодательное закрепление понятия "молодежь категории NEET", обеспечение единообразия порядка и условий деятельности молодежных трудовых отрядов, законодательное закрепление Индекса развития молодежи, профилактики буллинга в организациях образования, термина "специалист по работе с молодежью", дополнение основных направлений государственной молодежной политики направлением "повышение цифровой грамотности молодежи".</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кинематографии</w:t>
            </w:r>
            <w:r>
              <w:br/>
            </w:r>
            <w:r>
              <w:rPr>
                <w:rFonts w:ascii="Times New Roman"/>
                <w:b w:val="false"/>
                <w:i w:val="false"/>
                <w:color w:val="000000"/>
                <w:sz w:val="20"/>
              </w:rPr>
              <w:t>
</w:t>
            </w:r>
            <w:r>
              <w:rPr>
                <w:rFonts w:ascii="Times New Roman"/>
                <w:b w:val="false"/>
                <w:i w:val="false"/>
                <w:color w:val="000000"/>
                <w:sz w:val="20"/>
              </w:rPr>
              <w:t>В нынешних условиях, когда сфера киноиндустрии становится одним из ресурсов экономики, привлекательной инвестиционной средой для бизнес-инициатив, возможно вывести отдельные виды киноискусства и кинопроизводство на экономически прибыльный (рентабельный) уровень, а именно: фильмы, анимацию и другое.</w:t>
            </w:r>
            <w:r>
              <w:br/>
            </w:r>
            <w:r>
              <w:rPr>
                <w:rFonts w:ascii="Times New Roman"/>
                <w:b w:val="false"/>
                <w:i w:val="false"/>
                <w:color w:val="000000"/>
                <w:sz w:val="20"/>
              </w:rPr>
              <w:t>
</w:t>
            </w:r>
            <w:r>
              <w:rPr>
                <w:rFonts w:ascii="Times New Roman"/>
                <w:b w:val="false"/>
                <w:i w:val="false"/>
                <w:color w:val="000000"/>
                <w:sz w:val="20"/>
              </w:rPr>
              <w:t>В этой связи предлагается внести изменения и дополнения в действующее законодательство.</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геодезии, картографии и пространственных данных</w:t>
            </w:r>
            <w:r>
              <w:br/>
            </w:r>
            <w:r>
              <w:rPr>
                <w:rFonts w:ascii="Times New Roman"/>
                <w:b w:val="false"/>
                <w:i w:val="false"/>
                <w:color w:val="000000"/>
                <w:sz w:val="20"/>
              </w:rPr>
              <w:t>
</w:t>
            </w:r>
            <w:r>
              <w:rPr>
                <w:rFonts w:ascii="Times New Roman"/>
                <w:b w:val="false"/>
                <w:i w:val="false"/>
                <w:color w:val="000000"/>
                <w:sz w:val="20"/>
              </w:rPr>
              <w:t>Требуется введение новых и усовершенствованных механизмов ведения политики в области геодезии, картографии и пространственных данных, направленных на внедрение современных цифровых технологий, обеспечение создания единой геоинформационной среды, совершенствование государственного контроля в сфере геодезии и пространственных данных, актуализация норм действующего законодательства с учетом опыта практической реализации, пересмотр и упорядочивание всех действующих норм, которые позволят повысить, упорядочить деятельность субъектов; развитие инфраструктуры и устранение барьеров для цифровизации в данной сфере.</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государственного социального заказа</w:t>
            </w:r>
            <w:r>
              <w:br/>
            </w:r>
            <w:r>
              <w:rPr>
                <w:rFonts w:ascii="Times New Roman"/>
                <w:b w:val="false"/>
                <w:i w:val="false"/>
                <w:color w:val="000000"/>
                <w:sz w:val="20"/>
              </w:rPr>
              <w:t>
</w:t>
            </w:r>
            <w:r>
              <w:rPr>
                <w:rFonts w:ascii="Times New Roman"/>
                <w:b w:val="false"/>
                <w:i w:val="false"/>
                <w:color w:val="000000"/>
                <w:sz w:val="20"/>
              </w:rPr>
              <w:t>Необходима трансформация системы государственного социального заказа. В этой связи требуется принять законодательные меры по совершенствованию механизмов финансирования неправительственных организаций.</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прохождения правоохранительной службы</w:t>
            </w:r>
            <w:r>
              <w:br/>
            </w:r>
            <w:r>
              <w:rPr>
                <w:rFonts w:ascii="Times New Roman"/>
                <w:b w:val="false"/>
                <w:i w:val="false"/>
                <w:color w:val="000000"/>
                <w:sz w:val="20"/>
              </w:rPr>
              <w:t>
</w:t>
            </w:r>
            <w:r>
              <w:rPr>
                <w:rFonts w:ascii="Times New Roman"/>
                <w:b w:val="false"/>
                <w:i w:val="false"/>
                <w:color w:val="000000"/>
                <w:sz w:val="20"/>
              </w:rPr>
              <w:t>Требуется урегулирование на законодательном уровне: условий и порядка проведения конкурса и стажировки, а также внеконкурсного отбора при поступлении на правоохранительную службу; порядка и условий привлечения сотрудников к дисциплинарной ответственности; порядка прохождения службы сотрудниками, находящимися в распоряжении, и т.д.</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внедрения трехзвенной модели с разграничением полномочий и зон ответственности между правоохранительными органами, прокуратурой и судом</w:t>
            </w:r>
            <w:r>
              <w:br/>
            </w:r>
            <w:r>
              <w:rPr>
                <w:rFonts w:ascii="Times New Roman"/>
                <w:b w:val="false"/>
                <w:i w:val="false"/>
                <w:color w:val="000000"/>
                <w:sz w:val="20"/>
              </w:rPr>
              <w:t>
</w:t>
            </w:r>
            <w:r>
              <w:rPr>
                <w:rFonts w:ascii="Times New Roman"/>
                <w:b w:val="false"/>
                <w:i w:val="false"/>
                <w:color w:val="000000"/>
                <w:sz w:val="20"/>
              </w:rPr>
              <w:t>Следственно-судебная практика в Казахстане показывает, что имеются достаточные обоснования для разработки эффективной системы сдержек и противовесов, исключив дублирующие полномочия (процессуальные, организационно-контрольные, надзорные) и конкретизируя ответственность органов досудебного расследования, прокуратуры и суда на каждом этапе уголовного судопроизводства.</w:t>
            </w:r>
            <w:r>
              <w:br/>
            </w:r>
            <w:r>
              <w:rPr>
                <w:rFonts w:ascii="Times New Roman"/>
                <w:b w:val="false"/>
                <w:i w:val="false"/>
                <w:color w:val="000000"/>
                <w:sz w:val="20"/>
              </w:rPr>
              <w:t>
</w:t>
            </w:r>
            <w:r>
              <w:rPr>
                <w:rFonts w:ascii="Times New Roman"/>
                <w:b w:val="false"/>
                <w:i w:val="false"/>
                <w:color w:val="000000"/>
                <w:sz w:val="20"/>
              </w:rPr>
              <w:t>Для этого три ключевые задачи уголовного процесса по: 1) выявлению, пресечению преступления, сбору и закреплению доказательств; 2) квалификации деяния, принятию ключевых процессуальных решений и предъявлению обвинения; 3) назначению наказания должны выполняться разными органами. Это исключит ведомственную заинтересованность и обеспечит законность уголовного процесса.</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образования</w:t>
            </w:r>
            <w:r>
              <w:br/>
            </w:r>
            <w:r>
              <w:rPr>
                <w:rFonts w:ascii="Times New Roman"/>
                <w:b w:val="false"/>
                <w:i w:val="false"/>
                <w:color w:val="000000"/>
                <w:sz w:val="20"/>
              </w:rPr>
              <w:t>
</w:t>
            </w:r>
            <w:r>
              <w:rPr>
                <w:rFonts w:ascii="Times New Roman"/>
                <w:b w:val="false"/>
                <w:i w:val="false"/>
                <w:color w:val="000000"/>
                <w:sz w:val="20"/>
              </w:rPr>
              <w:t>В целях исполнения поручения Главы государства по повышению качества образования предлагается дальнейшее совершенствование законодательства в сфере образования и науки, касающегося вопросов лицензирования и государственного контроля организаций образования.</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науки</w:t>
            </w:r>
            <w:r>
              <w:br/>
            </w:r>
            <w:r>
              <w:rPr>
                <w:rFonts w:ascii="Times New Roman"/>
                <w:b w:val="false"/>
                <w:i w:val="false"/>
                <w:color w:val="000000"/>
                <w:sz w:val="20"/>
              </w:rPr>
              <w:t>
</w:t>
            </w:r>
            <w:r>
              <w:rPr>
                <w:rFonts w:ascii="Times New Roman"/>
                <w:b w:val="false"/>
                <w:i w:val="false"/>
                <w:color w:val="000000"/>
                <w:sz w:val="20"/>
              </w:rPr>
              <w:t>Необходимо принять меры по совершенствованию законодательства о науке, направленные на:</w:t>
            </w:r>
            <w:r>
              <w:br/>
            </w:r>
            <w:r>
              <w:rPr>
                <w:rFonts w:ascii="Times New Roman"/>
                <w:b w:val="false"/>
                <w:i w:val="false"/>
                <w:color w:val="000000"/>
                <w:sz w:val="20"/>
              </w:rPr>
              <w:t>
</w:t>
            </w:r>
            <w:r>
              <w:rPr>
                <w:rFonts w:ascii="Times New Roman"/>
                <w:b w:val="false"/>
                <w:i w:val="false"/>
                <w:color w:val="000000"/>
                <w:sz w:val="20"/>
              </w:rPr>
              <w:t>пересмотр процесса государственного финансирования науки, расширение перечня альтернативных источников финансирования научно-исследовательских и опытно-конструкторских работ; прямое финансирование отдельных научных сотрудников и научных институтов, не зависящее от гранатового и программно-целевого финансирования, увеличение и расширение базового финансирования науки:</w:t>
            </w:r>
            <w:r>
              <w:br/>
            </w:r>
            <w:r>
              <w:rPr>
                <w:rFonts w:ascii="Times New Roman"/>
                <w:b w:val="false"/>
                <w:i w:val="false"/>
                <w:color w:val="000000"/>
                <w:sz w:val="20"/>
              </w:rPr>
              <w:t>
</w:t>
            </w:r>
            <w:r>
              <w:rPr>
                <w:rFonts w:ascii="Times New Roman"/>
                <w:b w:val="false"/>
                <w:i w:val="false"/>
                <w:color w:val="000000"/>
                <w:sz w:val="20"/>
              </w:rPr>
              <w:t>выделение мега-грантов для проведения крупных научных исследований, формирования новых научных школ, выделение грантов программам постдокторантуры;</w:t>
            </w:r>
            <w:r>
              <w:br/>
            </w:r>
            <w:r>
              <w:rPr>
                <w:rFonts w:ascii="Times New Roman"/>
                <w:b w:val="false"/>
                <w:i w:val="false"/>
                <w:color w:val="000000"/>
                <w:sz w:val="20"/>
              </w:rPr>
              <w:t>
</w:t>
            </w:r>
            <w:r>
              <w:rPr>
                <w:rFonts w:ascii="Times New Roman"/>
                <w:b w:val="false"/>
                <w:i w:val="false"/>
                <w:color w:val="000000"/>
                <w:sz w:val="20"/>
              </w:rPr>
              <w:t>расширение компетенции Министерства образования и науки в качестве органа, осуществляющего межотраслевую координацию в области науки и научно-технической деятельности, для повышения эффективности государственного администрирования.</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органов внутренних дел</w:t>
            </w:r>
            <w:r>
              <w:br/>
            </w:r>
            <w:r>
              <w:rPr>
                <w:rFonts w:ascii="Times New Roman"/>
                <w:b w:val="false"/>
                <w:i w:val="false"/>
                <w:color w:val="000000"/>
                <w:sz w:val="20"/>
              </w:rPr>
              <w:t>
</w:t>
            </w:r>
            <w:r>
              <w:rPr>
                <w:rFonts w:ascii="Times New Roman"/>
                <w:b w:val="false"/>
                <w:i w:val="false"/>
                <w:color w:val="000000"/>
                <w:sz w:val="20"/>
              </w:rPr>
              <w:t>Одной из актуальных задач в обеспечении прав граждан и внутренней безопасности государства является полноценная реформа правоохранительной системы. В этой связи предлагается внесение законодательных поправок, предусматривающих освобождение органов внутренних дел от непрофильных функций.</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конституционного права</w:t>
            </w:r>
            <w:r>
              <w:br/>
            </w:r>
            <w:r>
              <w:rPr>
                <w:rFonts w:ascii="Times New Roman"/>
                <w:b w:val="false"/>
                <w:i w:val="false"/>
                <w:color w:val="000000"/>
                <w:sz w:val="20"/>
              </w:rPr>
              <w:t>
Необходимо принятие закона, определяющего статус и правовую основу деятельности Уполномоченного по правам человека</w:t>
            </w:r>
          </w:p>
          <w:bookmarkEnd w:id="8"/>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2022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9"/>
          <w:p>
            <w:pPr>
              <w:spacing w:after="20"/>
              <w:ind w:left="20"/>
              <w:jc w:val="both"/>
            </w:pPr>
            <w:r>
              <w:rPr>
                <w:rFonts w:ascii="Times New Roman"/>
                <w:b w:val="false"/>
                <w:i w:val="false"/>
                <w:color w:val="000000"/>
                <w:sz w:val="20"/>
              </w:rPr>
              <w:t>
Совершенствование законодательства в сфере гражданского права</w:t>
            </w:r>
            <w:r>
              <w:br/>
            </w:r>
            <w:r>
              <w:rPr>
                <w:rFonts w:ascii="Times New Roman"/>
                <w:b w:val="false"/>
                <w:i w:val="false"/>
                <w:color w:val="000000"/>
                <w:sz w:val="20"/>
              </w:rPr>
              <w:t>
Необходимы изучение и внедрение в законодательство Республики Казахстан передового международного опыта для улучшения казахстанской системы права с целью повышения его конкурентоспособности и инвестиционной привлекательности, а также создания более благоприятной среды для ведения бизнеса</w:t>
            </w:r>
          </w:p>
          <w:bookmarkEnd w:id="9"/>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годы</w:t>
            </w:r>
            <w:r>
              <w:br/>
            </w:r>
            <w:r>
              <w:rPr>
                <w:rFonts w:ascii="Times New Roman"/>
                <w:b w:val="false"/>
                <w:i w:val="false"/>
                <w:color w:val="000000"/>
                <w:sz w:val="20"/>
              </w:rPr>
              <w:t>(3 сессия)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Законодательство в сфере теплоснабжения; социального обеспечения; массовой информации; коллекторской деятельности; оптимизации уголовного законодательства с одновременной коррекцией уголовно-процессуального и уголовно-исполнительного кодексов; регулирования деятельности некоммерческих организаций; водных ресурсов; альтернативных источников энергии</w:t>
            </w:r>
            <w:r>
              <w:br/>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2022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0"/>
          <w:p>
            <w:pPr>
              <w:spacing w:after="20"/>
              <w:ind w:left="20"/>
              <w:jc w:val="both"/>
            </w:pPr>
            <w:r>
              <w:rPr>
                <w:rFonts w:ascii="Times New Roman"/>
                <w:b w:val="false"/>
                <w:i w:val="false"/>
                <w:color w:val="000000"/>
                <w:sz w:val="20"/>
              </w:rPr>
              <w:t>
Совершенствование законодательства в сфере теплоснабжения</w:t>
            </w:r>
            <w:r>
              <w:br/>
            </w:r>
            <w:r>
              <w:rPr>
                <w:rFonts w:ascii="Times New Roman"/>
                <w:b w:val="false"/>
                <w:i w:val="false"/>
                <w:color w:val="000000"/>
                <w:sz w:val="20"/>
              </w:rPr>
              <w:t>
</w:t>
            </w:r>
            <w:r>
              <w:rPr>
                <w:rFonts w:ascii="Times New Roman"/>
                <w:b w:val="false"/>
                <w:i w:val="false"/>
                <w:color w:val="000000"/>
                <w:sz w:val="20"/>
              </w:rPr>
              <w:t>В целях регулирования общественных отношений, возникающих в связи с производством, передачей, потреблением тепловой энергии; определения полномочий государственных органов по регулированию и контролю в сфере теплоснабжения; определения прав и обязанностей потребителей тепловой энергии, теплопроизводящих и теплогенерирующих организаций и внедрения механизма привлечения инвестиций в сферу теплоснабжения необходимо разработать единый отраслевой закон "О теплоснабжении".</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социального обеспечения</w:t>
            </w:r>
            <w:r>
              <w:br/>
            </w:r>
            <w:r>
              <w:rPr>
                <w:rFonts w:ascii="Times New Roman"/>
                <w:b w:val="false"/>
                <w:i w:val="false"/>
                <w:color w:val="000000"/>
                <w:sz w:val="20"/>
              </w:rPr>
              <w:t>
</w:t>
            </w:r>
            <w:r>
              <w:rPr>
                <w:rFonts w:ascii="Times New Roman"/>
                <w:b w:val="false"/>
                <w:i w:val="false"/>
                <w:color w:val="000000"/>
                <w:sz w:val="20"/>
              </w:rPr>
              <w:t>Сфера социального обеспечения регулируется множеством законов и подзаконных актов, что создает трудности в понимании социального законодательства населением.</w:t>
            </w:r>
            <w:r>
              <w:br/>
            </w:r>
            <w:r>
              <w:rPr>
                <w:rFonts w:ascii="Times New Roman"/>
                <w:b w:val="false"/>
                <w:i w:val="false"/>
                <w:color w:val="000000"/>
                <w:sz w:val="20"/>
              </w:rPr>
              <w:t>
</w:t>
            </w:r>
            <w:r>
              <w:rPr>
                <w:rFonts w:ascii="Times New Roman"/>
                <w:b w:val="false"/>
                <w:i w:val="false"/>
                <w:color w:val="000000"/>
                <w:sz w:val="20"/>
              </w:rPr>
              <w:t>Существующая сегодня систематизация законодательства в сфере социального обеспечения не позволяет легко ориентироваться в мерах социальной поддержки при наступлении тех или иных социальных рисков.</w:t>
            </w:r>
            <w:r>
              <w:br/>
            </w:r>
            <w:r>
              <w:rPr>
                <w:rFonts w:ascii="Times New Roman"/>
                <w:b w:val="false"/>
                <w:i w:val="false"/>
                <w:color w:val="000000"/>
                <w:sz w:val="20"/>
              </w:rPr>
              <w:t>
</w:t>
            </w:r>
            <w:r>
              <w:rPr>
                <w:rFonts w:ascii="Times New Roman"/>
                <w:b w:val="false"/>
                <w:i w:val="false"/>
                <w:color w:val="000000"/>
                <w:sz w:val="20"/>
              </w:rPr>
              <w:t>В этой связи кодификация нормативных правовых актов упростит и качественно улучшит процесс их восприятия за счет создания единого источника знаний граждан о своих правах и обязанностях в соответствующей области.</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массовой информации</w:t>
            </w:r>
            <w:r>
              <w:br/>
            </w:r>
            <w:r>
              <w:rPr>
                <w:rFonts w:ascii="Times New Roman"/>
                <w:b w:val="false"/>
                <w:i w:val="false"/>
                <w:color w:val="000000"/>
                <w:sz w:val="20"/>
              </w:rPr>
              <w:t>
</w:t>
            </w:r>
            <w:r>
              <w:rPr>
                <w:rFonts w:ascii="Times New Roman"/>
                <w:b w:val="false"/>
                <w:i w:val="false"/>
                <w:color w:val="000000"/>
                <w:sz w:val="20"/>
              </w:rPr>
              <w:t>Необходимо внесение изменений и дополнений в законодательство, регламентирующее свободу выражения мнений, получения и распространения информации, деятельность СМИ.</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коллекторской деятельности</w:t>
            </w:r>
            <w:r>
              <w:br/>
            </w:r>
            <w:r>
              <w:rPr>
                <w:rFonts w:ascii="Times New Roman"/>
                <w:b w:val="false"/>
                <w:i w:val="false"/>
                <w:color w:val="000000"/>
                <w:sz w:val="20"/>
              </w:rPr>
              <w:t>
</w:t>
            </w:r>
            <w:r>
              <w:rPr>
                <w:rFonts w:ascii="Times New Roman"/>
                <w:b w:val="false"/>
                <w:i w:val="false"/>
                <w:color w:val="000000"/>
                <w:sz w:val="20"/>
              </w:rPr>
              <w:t>Правоприменительная практика по Закону от 6 мая 2017 года "О коллекторской деятельности" выявила ряд вопросов, требующих разрешения.</w:t>
            </w:r>
            <w:r>
              <w:br/>
            </w:r>
            <w:r>
              <w:rPr>
                <w:rFonts w:ascii="Times New Roman"/>
                <w:b w:val="false"/>
                <w:i w:val="false"/>
                <w:color w:val="000000"/>
                <w:sz w:val="20"/>
              </w:rPr>
              <w:t>
</w:t>
            </w:r>
            <w:r>
              <w:rPr>
                <w:rFonts w:ascii="Times New Roman"/>
                <w:b w:val="false"/>
                <w:i w:val="false"/>
                <w:color w:val="000000"/>
                <w:sz w:val="20"/>
              </w:rPr>
              <w:t>Имеет место значительное число жалоб населения на деятельность коллекторских фирм. Для решения данных вопросов необходимо пересмотреть некоторые процедурные моменты деятельности сотрудников коллекторских фирм, такие как введение некоторых ограничений по телефонным звонкам к должнику, регламентация обращения к работодателю должника, обязательное ознакомление с правами и обязанностями должника и прочее.</w:t>
            </w:r>
            <w:r>
              <w:br/>
            </w:r>
            <w:r>
              <w:rPr>
                <w:rFonts w:ascii="Times New Roman"/>
                <w:b w:val="false"/>
                <w:i w:val="false"/>
                <w:color w:val="000000"/>
                <w:sz w:val="20"/>
              </w:rPr>
              <w:t>
</w:t>
            </w:r>
            <w:r>
              <w:rPr>
                <w:rFonts w:ascii="Times New Roman"/>
                <w:b w:val="false"/>
                <w:i w:val="false"/>
                <w:color w:val="000000"/>
                <w:sz w:val="20"/>
              </w:rPr>
              <w:t>Кроме того, необходимо повышение ответственности коллекторских агентств за нарушение законодательства о коллекторской деятельности. Также необходимо ужесточение мер, направленных на исключение незаконной деятельности под видом деятельности коллекторских агентств.</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оптимизации уголовного законодательства с одновременной коррекцией уголовно-процессуального и уголовно-исполнительного кодексов</w:t>
            </w:r>
            <w:r>
              <w:br/>
            </w:r>
            <w:r>
              <w:rPr>
                <w:rFonts w:ascii="Times New Roman"/>
                <w:b w:val="false"/>
                <w:i w:val="false"/>
                <w:color w:val="000000"/>
                <w:sz w:val="20"/>
              </w:rPr>
              <w:t>
Законодательная оценка общественной опасности уголовных правонарушений выражается в степени их наказуемости и зависит от социально-экономической ситуации, уровня преступности и восприятия обществом. Это требует проведения периодического анализа на предмет их взаимного соответствия и при необходимости их корректировки через ужесточение или гуманизацию</w:t>
            </w:r>
          </w:p>
          <w:bookmarkEnd w:id="10"/>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2023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Совершенствование законодательства в сфере регулирования деятельности некоммерческих организаций</w:t>
            </w:r>
            <w:r>
              <w:br/>
            </w:r>
            <w:r>
              <w:rPr>
                <w:rFonts w:ascii="Times New Roman"/>
                <w:b w:val="false"/>
                <w:i w:val="false"/>
                <w:color w:val="000000"/>
                <w:sz w:val="20"/>
              </w:rPr>
              <w:t>
</w:t>
            </w:r>
            <w:r>
              <w:rPr>
                <w:rFonts w:ascii="Times New Roman"/>
                <w:b w:val="false"/>
                <w:i w:val="false"/>
                <w:color w:val="000000"/>
                <w:sz w:val="20"/>
              </w:rPr>
              <w:t>Необходимо объединить положения законов "О некоммерческих организациях" и "Об общественных объединениях". В результате запланировано принятие закона "О некоммерческих организациях" в новой редакции, а закон "Об общественных объединениях" будет поставлен на утрату.</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водных ресурсов</w:t>
            </w:r>
            <w:r>
              <w:br/>
            </w:r>
            <w:r>
              <w:rPr>
                <w:rFonts w:ascii="Times New Roman"/>
                <w:b w:val="false"/>
                <w:i w:val="false"/>
                <w:color w:val="000000"/>
                <w:sz w:val="20"/>
              </w:rPr>
              <w:t>
</w:t>
            </w:r>
            <w:r>
              <w:rPr>
                <w:rFonts w:ascii="Times New Roman"/>
                <w:b w:val="false"/>
                <w:i w:val="false"/>
                <w:color w:val="000000"/>
                <w:sz w:val="20"/>
              </w:rPr>
              <w:t>Действующее водное законодательство не соответствует современным реалиям. В целях устойчивого обеспечения водными ресурсами Республики Казахстан в долгосрочном периоде требуется совершенствование законодательства в сфере водных ресурсов</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альтернативных источников энергии</w:t>
            </w:r>
            <w:r>
              <w:br/>
            </w:r>
            <w:r>
              <w:rPr>
                <w:rFonts w:ascii="Times New Roman"/>
                <w:b w:val="false"/>
                <w:i w:val="false"/>
                <w:color w:val="000000"/>
                <w:sz w:val="20"/>
              </w:rPr>
              <w:t>
</w:t>
            </w:r>
            <w:r>
              <w:rPr>
                <w:rFonts w:ascii="Times New Roman"/>
                <w:b w:val="false"/>
                <w:i w:val="false"/>
                <w:color w:val="000000"/>
                <w:sz w:val="20"/>
              </w:rPr>
              <w:t>В целом альтернативные источники энергии и их развитие соответствуют основным направлениям Концепции по переходу Республики Казахстан к "зеленой экономике", утвержденной Указом Президента Республики Казахстан от 30 мая 2013 года № 577, в части увеличения доли альтернативной энергетики.</w:t>
            </w:r>
            <w:r>
              <w:br/>
            </w:r>
            <w:r>
              <w:rPr>
                <w:rFonts w:ascii="Times New Roman"/>
                <w:b w:val="false"/>
                <w:i w:val="false"/>
                <w:color w:val="000000"/>
                <w:sz w:val="20"/>
              </w:rPr>
              <w:t>
</w:t>
            </w:r>
            <w:r>
              <w:rPr>
                <w:rFonts w:ascii="Times New Roman"/>
                <w:b w:val="false"/>
                <w:i w:val="false"/>
                <w:color w:val="000000"/>
                <w:sz w:val="20"/>
              </w:rPr>
              <w:t>Вместе с тем требуется правовое регулирование использования всех (по климатическим условиям и потенциалам Казахстана) альтернативных источников энергии и механизмов поддержки.</w:t>
            </w:r>
            <w:r>
              <w:br/>
            </w:r>
            <w:r>
              <w:rPr>
                <w:rFonts w:ascii="Times New Roman"/>
                <w:b w:val="false"/>
                <w:i w:val="false"/>
                <w:color w:val="000000"/>
                <w:sz w:val="20"/>
              </w:rPr>
              <w:t>
В связи с чем необходимо принятие нового закона по вопросам развития альтернативной энергетики</w:t>
            </w:r>
          </w:p>
          <w:bookmarkEnd w:id="11"/>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2024 годы</w:t>
            </w:r>
            <w:r>
              <w:br/>
            </w:r>
            <w:r>
              <w:rPr>
                <w:rFonts w:ascii="Times New Roman"/>
                <w:b w:val="false"/>
                <w:i w:val="false"/>
                <w:color w:val="000000"/>
                <w:sz w:val="20"/>
              </w:rPr>
              <w:t>(4 сессия)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сфере налогообложения; административного права; управления стрессовыми активами</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12"/>
          <w:p>
            <w:pPr>
              <w:spacing w:after="20"/>
              <w:ind w:left="20"/>
              <w:jc w:val="both"/>
            </w:pPr>
            <w:r>
              <w:rPr>
                <w:rFonts w:ascii="Times New Roman"/>
                <w:b w:val="false"/>
                <w:i w:val="false"/>
                <w:color w:val="000000"/>
                <w:sz w:val="20"/>
              </w:rPr>
              <w:t>
Совершенствование законодательства в сфере налогообложения</w:t>
            </w:r>
            <w:r>
              <w:br/>
            </w:r>
            <w:r>
              <w:rPr>
                <w:rFonts w:ascii="Times New Roman"/>
                <w:b w:val="false"/>
                <w:i w:val="false"/>
                <w:color w:val="000000"/>
                <w:sz w:val="20"/>
              </w:rPr>
              <w:t>
</w:t>
            </w:r>
            <w:r>
              <w:rPr>
                <w:rFonts w:ascii="Times New Roman"/>
                <w:b w:val="false"/>
                <w:i w:val="false"/>
                <w:color w:val="000000"/>
                <w:sz w:val="20"/>
              </w:rPr>
              <w:t>Необходимо законодательно усовершенствовать вопросы налогообложения физических лиц в связи с поэтапным переходом во всеобщее декларирование.</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административного права</w:t>
            </w:r>
            <w:r>
              <w:br/>
            </w:r>
            <w:r>
              <w:rPr>
                <w:rFonts w:ascii="Times New Roman"/>
                <w:b w:val="false"/>
                <w:i w:val="false"/>
                <w:color w:val="000000"/>
                <w:sz w:val="20"/>
              </w:rPr>
              <w:t>
</w:t>
            </w:r>
            <w:r>
              <w:rPr>
                <w:rFonts w:ascii="Times New Roman"/>
                <w:b w:val="false"/>
                <w:i w:val="false"/>
                <w:color w:val="000000"/>
                <w:sz w:val="20"/>
              </w:rPr>
              <w:t>Требуется совершенствование отдельных положений Кодекса об административных правонарушениях и Административного процедурно-процессуального кодекса.</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сфере управления стрессовыми активами</w:t>
            </w:r>
            <w:r>
              <w:br/>
            </w:r>
            <w:r>
              <w:rPr>
                <w:rFonts w:ascii="Times New Roman"/>
                <w:b w:val="false"/>
                <w:i w:val="false"/>
                <w:color w:val="000000"/>
                <w:sz w:val="20"/>
              </w:rPr>
              <w:t>
</w:t>
            </w:r>
            <w:r>
              <w:rPr>
                <w:rFonts w:ascii="Times New Roman"/>
                <w:b w:val="false"/>
                <w:i w:val="false"/>
                <w:color w:val="000000"/>
                <w:sz w:val="20"/>
              </w:rPr>
              <w:t>В настоящее время на балансе банков второго уровня, их дочерних организаций по стрессовым активам и АО "Фонд проблемных кредитов" накоплен значительный объем неработающих активов, которые следует вовлечь в экономический оборот. Международные исследования показывают, что затягивание решения проблемы с неработающими активами может привести к сокращению экономического роста и существенному отставанию развития финансового сектора.</w:t>
            </w:r>
            <w:r>
              <w:br/>
            </w:r>
            <w:r>
              <w:rPr>
                <w:rFonts w:ascii="Times New Roman"/>
                <w:b w:val="false"/>
                <w:i w:val="false"/>
                <w:color w:val="000000"/>
                <w:sz w:val="20"/>
              </w:rPr>
              <w:t>
</w:t>
            </w:r>
            <w:r>
              <w:rPr>
                <w:rFonts w:ascii="Times New Roman"/>
                <w:b w:val="false"/>
                <w:i w:val="false"/>
                <w:color w:val="000000"/>
                <w:sz w:val="20"/>
              </w:rPr>
              <w:t>Для разрешения сложившейся ситуации необходимо развивать все компоненты эффективного рынка проблемных активов: усиление регуляторных и надзорных условий для управления проблемными активами, реструктуризация и реализация проблемных активов – для их возврата в экономический оборот и повышения ликвидности рынка.</w:t>
            </w:r>
            <w:r>
              <w:br/>
            </w:r>
            <w:r>
              <w:rPr>
                <w:rFonts w:ascii="Times New Roman"/>
                <w:b w:val="false"/>
                <w:i w:val="false"/>
                <w:color w:val="000000"/>
                <w:sz w:val="20"/>
              </w:rPr>
              <w:t>
Для вовлечения в экономический оборот проблемных активов необходимо рассмотреть целесообразность создания единой платформы по реализации неработающих активов, в которую также необходимо вовлечь БВУ и их дочерние организации по управлению стрессовыми активами</w:t>
            </w:r>
          </w:p>
          <w:bookmarkEnd w:id="12"/>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2025 годы</w:t>
            </w:r>
            <w:r>
              <w:br/>
            </w:r>
            <w:r>
              <w:rPr>
                <w:rFonts w:ascii="Times New Roman"/>
                <w:b w:val="false"/>
                <w:i w:val="false"/>
                <w:color w:val="000000"/>
                <w:sz w:val="20"/>
              </w:rPr>
              <w:t>(5 сессия)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сфере строительства и жилищно-коммунального хозяйства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2024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3"/>
          <w:p>
            <w:pPr>
              <w:spacing w:after="20"/>
              <w:ind w:left="20"/>
              <w:jc w:val="both"/>
            </w:pPr>
            <w:r>
              <w:rPr>
                <w:rFonts w:ascii="Times New Roman"/>
                <w:b w:val="false"/>
                <w:i w:val="false"/>
                <w:color w:val="000000"/>
                <w:sz w:val="20"/>
              </w:rPr>
              <w:t>
Совершенствование законодательства в сфере строительства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В целях совершенствования действующего законодательства Республики Казахстан в сфере строительства и жилищно-коммунального хозяйства необходимо определить права и обязанности органов архитектуры, градостроительства и строительства; регламентировать порядок действий лицензий на право занятия деятельностью в сфере архитектуры, градостроительства и строительства; усилить ответственность до начала строительно-монтажных работ и др.</w:t>
            </w:r>
            <w:r>
              <w:br/>
            </w:r>
            <w:r>
              <w:rPr>
                <w:rFonts w:ascii="Times New Roman"/>
                <w:b w:val="false"/>
                <w:i w:val="false"/>
                <w:color w:val="000000"/>
                <w:sz w:val="20"/>
              </w:rPr>
              <w:t>
В этой связи необходимо разработать проект Закона "О внесении изменений и дополнений в некоторые законодательные акты Республики Казахстан по вопросам строительства и жилищно-коммунального хозяйства"</w:t>
            </w:r>
          </w:p>
          <w:bookmarkEnd w:id="13"/>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 2026 годы </w:t>
            </w:r>
            <w:r>
              <w:br/>
            </w:r>
            <w:r>
              <w:rPr>
                <w:rFonts w:ascii="Times New Roman"/>
                <w:b w:val="false"/>
                <w:i w:val="false"/>
                <w:color w:val="000000"/>
                <w:sz w:val="20"/>
              </w:rPr>
              <w:t>(6 сессия)</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законодательства в сфере развития недропользования; гражданского процессуального законодательства</w:t>
            </w:r>
          </w:p>
        </w:tc>
      </w:tr>
      <w:tr>
        <w:trPr>
          <w:trHeight w:val="30" w:hRule="atLeast"/>
        </w:trPr>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Первое полугодие 2026 года</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4"/>
          <w:p>
            <w:pPr>
              <w:spacing w:after="20"/>
              <w:ind w:left="20"/>
              <w:jc w:val="both"/>
            </w:pPr>
            <w:r>
              <w:rPr>
                <w:rFonts w:ascii="Times New Roman"/>
                <w:b w:val="false"/>
                <w:i w:val="false"/>
                <w:color w:val="000000"/>
                <w:sz w:val="20"/>
              </w:rPr>
              <w:t>
Совершенствование законодательства в сфере развития недропользования</w:t>
            </w:r>
            <w:r>
              <w:br/>
            </w:r>
            <w:r>
              <w:rPr>
                <w:rFonts w:ascii="Times New Roman"/>
                <w:b w:val="false"/>
                <w:i w:val="false"/>
                <w:color w:val="000000"/>
                <w:sz w:val="20"/>
              </w:rPr>
              <w:t>
</w:t>
            </w:r>
            <w:r>
              <w:rPr>
                <w:rFonts w:ascii="Times New Roman"/>
                <w:b w:val="false"/>
                <w:i w:val="false"/>
                <w:color w:val="000000"/>
                <w:sz w:val="20"/>
              </w:rPr>
              <w:t>Необходимо в действующих законодательных актах предусмотреть нормы в части:</w:t>
            </w:r>
            <w:r>
              <w:br/>
            </w:r>
            <w:r>
              <w:rPr>
                <w:rFonts w:ascii="Times New Roman"/>
                <w:b w:val="false"/>
                <w:i w:val="false"/>
                <w:color w:val="000000"/>
                <w:sz w:val="20"/>
              </w:rPr>
              <w:t>
</w:t>
            </w:r>
            <w:r>
              <w:rPr>
                <w:rFonts w:ascii="Times New Roman"/>
                <w:b w:val="false"/>
                <w:i w:val="false"/>
                <w:color w:val="000000"/>
                <w:sz w:val="20"/>
              </w:rPr>
              <w:t>применения дифференцированной ставки роялти с учетом уровня переработки сырья;</w:t>
            </w:r>
            <w:r>
              <w:br/>
            </w:r>
            <w:r>
              <w:rPr>
                <w:rFonts w:ascii="Times New Roman"/>
                <w:b w:val="false"/>
                <w:i w:val="false"/>
                <w:color w:val="000000"/>
                <w:sz w:val="20"/>
              </w:rPr>
              <w:t>
</w:t>
            </w:r>
            <w:r>
              <w:rPr>
                <w:rFonts w:ascii="Times New Roman"/>
                <w:b w:val="false"/>
                <w:i w:val="false"/>
                <w:color w:val="000000"/>
                <w:sz w:val="20"/>
              </w:rPr>
              <w:t>дальнейшего улучшения инвестиционной привлекательности в сфере недропользования.</w:t>
            </w:r>
            <w:r>
              <w:br/>
            </w:r>
            <w:r>
              <w:rPr>
                <w:rFonts w:ascii="Times New Roman"/>
                <w:b w:val="false"/>
                <w:i w:val="false"/>
                <w:color w:val="000000"/>
                <w:sz w:val="20"/>
              </w:rPr>
              <w:t>
</w:t>
            </w:r>
            <w:r>
              <w:rPr>
                <w:rFonts w:ascii="Times New Roman"/>
                <w:b w:val="false"/>
                <w:i w:val="false"/>
                <w:color w:val="000000"/>
                <w:sz w:val="20"/>
              </w:rPr>
              <w:t>Совершенствование законодательства в части гражданского процессуального права</w:t>
            </w:r>
            <w:r>
              <w:br/>
            </w:r>
            <w:r>
              <w:rPr>
                <w:rFonts w:ascii="Times New Roman"/>
                <w:b w:val="false"/>
                <w:i w:val="false"/>
                <w:color w:val="000000"/>
                <w:sz w:val="20"/>
              </w:rPr>
              <w:t>
Требуются введение института досудебных протоколов в рамках досудебной подготовки дела, пересмотр размеров государственных пошлин по имущественным и неимущественным спорам, а также внедрение концепции массовых исков и их классификации, развитие института арбитража</w:t>
            </w:r>
          </w:p>
          <w:bookmarkEnd w:id="14"/>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