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bf7d9" w14:textId="2ebf7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Указ Президента Республики Казахстан от 11 ноября 2019 года № 203 "О дальнейшем совершенствовании системы государственного управления Республики Казахстан"</w:t>
      </w:r>
    </w:p>
    <w:p>
      <w:pPr>
        <w:spacing w:after="0"/>
        <w:ind w:left="0"/>
        <w:jc w:val="both"/>
      </w:pPr>
      <w:r>
        <w:rPr>
          <w:rFonts w:ascii="Times New Roman"/>
          <w:b w:val="false"/>
          <w:i w:val="false"/>
          <w:color w:val="000000"/>
          <w:sz w:val="28"/>
        </w:rPr>
        <w:t>Указ Президента Республики Казахстан от 2 марта 2024 года № 492.</w:t>
      </w:r>
    </w:p>
    <w:p>
      <w:pPr>
        <w:spacing w:after="0"/>
        <w:ind w:left="0"/>
        <w:jc w:val="both"/>
      </w:pPr>
      <w:bookmarkStart w:name="z4" w:id="0"/>
      <w:r>
        <w:rPr>
          <w:rFonts w:ascii="Times New Roman"/>
          <w:b w:val="false"/>
          <w:i w:val="false"/>
          <w:color w:val="000000"/>
          <w:sz w:val="28"/>
        </w:rPr>
        <w:t xml:space="preserve">
      ПОСТАНОВЛЯЮ: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11 ноября 2019 года № 203 "О дальнейшем совершенствовании системы государственного управления Республики Казахстан"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Агентстве Республики Казахстан по регулированию и развитию финансового рынка, утвержденном вышеназванным Указом: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14</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"1) осуществление в соответствии с Законом и иными законами Республики Казахстан в пределах своей компетенции государственного регулирования, контроля и надзора финансового рынка и финансовых организаций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их филиалов и аффилированных лиц,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Банка Развития Казахстана, Экспортно-кредитного агентства Казахстана, юридических лиц, осуществляющих деятельность на рынке ценных бумаг, иных субъектов рынка ценных бумаг, эмитентов ценных бумаг, кредитных бюро, банковских холдингов, банковских конгломератов, крупных участников банков, страховых холдингов, страховых групп, крупных участников страховых (перестраховочных) организаций, актуариев, имеющих лицензию на осуществление актуарной деятельности на страховом рынке, специальных финансовых компаний, исламских специальных финансовых компаний, инвестиционных фондов, крупных участников управляющих инвестиционным портфелем, лиц, обладающих признаками крупного участника банка, страховой (перестраховочной) организации, управляющего инвестиционным портфелем, банковского холдинга, страхового холдинга, профессиональных организаций, коллекторских агентств, временных администраций (временных администраторов), ликвидационных комиссий банков, страховых (перестраховочных) организаций и ликвидационных комиссий филиалов банков-нерезидентов Республики Казахстан;";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"13) осуществление в пределах своей компетенции контроля и надзора за соблюдением финансовыми организациями, Экспортно-кредитным агентством Казахстана,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 Национальным оператором почты требований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5"/>
    <w:bookmarkStart w:name="z12" w:id="6"/>
    <w:p>
      <w:pPr>
        <w:spacing w:after="0"/>
        <w:ind w:left="0"/>
        <w:jc w:val="both"/>
      </w:pPr>
      <w:r>
        <w:rPr>
          <w:rFonts w:ascii="Times New Roman"/>
          <w:b w:val="false"/>
          <w:i w:val="false"/>
          <w:color w:val="000000"/>
          <w:sz w:val="28"/>
        </w:rPr>
        <w:t>
      дополнить подпунктами 82-1), 82-2), 82-3) и 82-4) следующего содержания:</w:t>
      </w:r>
    </w:p>
    <w:bookmarkEnd w:id="6"/>
    <w:bookmarkStart w:name="z13" w:id="7"/>
    <w:p>
      <w:pPr>
        <w:spacing w:after="0"/>
        <w:ind w:left="0"/>
        <w:jc w:val="both"/>
      </w:pPr>
      <w:r>
        <w:rPr>
          <w:rFonts w:ascii="Times New Roman"/>
          <w:b w:val="false"/>
          <w:i w:val="false"/>
          <w:color w:val="000000"/>
          <w:sz w:val="28"/>
        </w:rPr>
        <w:t>
      "82-1) утверждение типового договора обязательного страхования работника от несчастных случаев при исполнении им трудовых (служебных) обязанностей;</w:t>
      </w:r>
    </w:p>
    <w:bookmarkEnd w:id="7"/>
    <w:bookmarkStart w:name="z14" w:id="8"/>
    <w:p>
      <w:pPr>
        <w:spacing w:after="0"/>
        <w:ind w:left="0"/>
        <w:jc w:val="both"/>
      </w:pPr>
      <w:r>
        <w:rPr>
          <w:rFonts w:ascii="Times New Roman"/>
          <w:b w:val="false"/>
          <w:i w:val="false"/>
          <w:color w:val="000000"/>
          <w:sz w:val="28"/>
        </w:rPr>
        <w:t xml:space="preserve">
      82-2) определение порядка расчета страховой премии по договору предпенсионного аннуитетного страхования; </w:t>
      </w:r>
    </w:p>
    <w:bookmarkEnd w:id="8"/>
    <w:bookmarkStart w:name="z15" w:id="9"/>
    <w:p>
      <w:pPr>
        <w:spacing w:after="0"/>
        <w:ind w:left="0"/>
        <w:jc w:val="both"/>
      </w:pPr>
      <w:r>
        <w:rPr>
          <w:rFonts w:ascii="Times New Roman"/>
          <w:b w:val="false"/>
          <w:i w:val="false"/>
          <w:color w:val="000000"/>
          <w:sz w:val="28"/>
        </w:rPr>
        <w:t>
      82-3) установление требований к договору предпенсионного аннуитетного страхования и допустимого уровня расходов страховщика на ведение дела по заключаемым договорам предпенсионного аннуитетного страхования;</w:t>
      </w:r>
    </w:p>
    <w:bookmarkEnd w:id="9"/>
    <w:bookmarkStart w:name="z16" w:id="10"/>
    <w:p>
      <w:pPr>
        <w:spacing w:after="0"/>
        <w:ind w:left="0"/>
        <w:jc w:val="both"/>
      </w:pPr>
      <w:r>
        <w:rPr>
          <w:rFonts w:ascii="Times New Roman"/>
          <w:b w:val="false"/>
          <w:i w:val="false"/>
          <w:color w:val="000000"/>
          <w:sz w:val="28"/>
        </w:rPr>
        <w:t>
      82-4) определение порядка осуществления, приостановления, возобновления и прекращения страховых выплат по договору предпенсионного аннуитетного страхования по согласованию с уполномоченным государственным органом по труду;";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103)</w:t>
      </w:r>
      <w:r>
        <w:rPr>
          <w:rFonts w:ascii="Times New Roman"/>
          <w:b w:val="false"/>
          <w:i w:val="false"/>
          <w:color w:val="000000"/>
          <w:sz w:val="28"/>
        </w:rPr>
        <w:t xml:space="preserve"> и </w:t>
      </w:r>
      <w:r>
        <w:rPr>
          <w:rFonts w:ascii="Times New Roman"/>
          <w:b w:val="false"/>
          <w:i w:val="false"/>
          <w:color w:val="000000"/>
          <w:sz w:val="28"/>
        </w:rPr>
        <w:t>179)</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205)</w:t>
      </w:r>
      <w:r>
        <w:rPr>
          <w:rFonts w:ascii="Times New Roman"/>
          <w:b w:val="false"/>
          <w:i w:val="false"/>
          <w:color w:val="000000"/>
          <w:sz w:val="28"/>
        </w:rPr>
        <w:t xml:space="preserve"> и </w:t>
      </w:r>
      <w:r>
        <w:rPr>
          <w:rFonts w:ascii="Times New Roman"/>
          <w:b w:val="false"/>
          <w:i w:val="false"/>
          <w:color w:val="000000"/>
          <w:sz w:val="28"/>
        </w:rPr>
        <w:t>206)</w:t>
      </w:r>
      <w:r>
        <w:rPr>
          <w:rFonts w:ascii="Times New Roman"/>
          <w:b w:val="false"/>
          <w:i w:val="false"/>
          <w:color w:val="000000"/>
          <w:sz w:val="28"/>
        </w:rPr>
        <w:t xml:space="preserve"> изложить в следующей редакции:</w:t>
      </w:r>
    </w:p>
    <w:bookmarkStart w:name="z19" w:id="11"/>
    <w:p>
      <w:pPr>
        <w:spacing w:after="0"/>
        <w:ind w:left="0"/>
        <w:jc w:val="both"/>
      </w:pPr>
      <w:r>
        <w:rPr>
          <w:rFonts w:ascii="Times New Roman"/>
          <w:b w:val="false"/>
          <w:i w:val="false"/>
          <w:color w:val="000000"/>
          <w:sz w:val="28"/>
        </w:rPr>
        <w:t>
      "205) установление требований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банков, филиалов банков-нерезидентов Республики Казахстан, организаций, осуществляющих отдельные виды банковских операций, фондовой биржи, страховых (перестраховочных) организаций, страховых брокеров, обществ взаимного страхования, филиалов страховых (перестраховочных) организаций-нерезидентов Республики Казахстан, филиалов страховых брокеров-нерезидентов Республики Казахстан, Экспортно-кредитного агентства Казахстана, единого накопительного пенсионного фонда и добровольных накопительных пенсионных фондов, профессиональных участников рынка ценных бумаг, центрального депозитария, организаций, осуществляющих микрофинансовую деятельность;</w:t>
      </w:r>
    </w:p>
    <w:bookmarkEnd w:id="11"/>
    <w:bookmarkStart w:name="z20" w:id="12"/>
    <w:p>
      <w:pPr>
        <w:spacing w:after="0"/>
        <w:ind w:left="0"/>
        <w:jc w:val="both"/>
      </w:pPr>
      <w:r>
        <w:rPr>
          <w:rFonts w:ascii="Times New Roman"/>
          <w:b w:val="false"/>
          <w:i w:val="false"/>
          <w:color w:val="000000"/>
          <w:sz w:val="28"/>
        </w:rPr>
        <w:t>
      206) установление требований к надлежащей проверке клиентов в случае дистанционного установления деловых отношений банками, филиалами банков-нерезидентов Республики Казахстан, организациями, осуществляющими отдельные виды банковских операций, фондовой биржей, страховыми (перестраховочными) организациями, страховыми брокерами, обществами взаимного страхования, филиалами страховых (перестраховочных) организаций-нерезидентов Республики Казахстан, филиалами страховых брокеров-нерезидентов Республики Казахстан, Экспортно-кредитным агентством Казахстана, единым накопительным пенсионным фондом и добровольными накопительными пенсионными фондами, профессиональными участниками рынка ценных бумаг, центральным депозитарием, организациями, осуществляющими микрофинансовую деятельность;";</w:t>
      </w:r>
    </w:p>
    <w:bookmarkEnd w:id="12"/>
    <w:bookmarkStart w:name="z21" w:id="13"/>
    <w:p>
      <w:pPr>
        <w:spacing w:after="0"/>
        <w:ind w:left="0"/>
        <w:jc w:val="both"/>
      </w:pPr>
      <w:r>
        <w:rPr>
          <w:rFonts w:ascii="Times New Roman"/>
          <w:b w:val="false"/>
          <w:i w:val="false"/>
          <w:color w:val="000000"/>
          <w:sz w:val="28"/>
        </w:rPr>
        <w:t>
      дополнить подпунктами 207-1) и 207-2) следующего содержания:</w:t>
      </w:r>
    </w:p>
    <w:bookmarkEnd w:id="13"/>
    <w:bookmarkStart w:name="z22" w:id="14"/>
    <w:p>
      <w:pPr>
        <w:spacing w:after="0"/>
        <w:ind w:left="0"/>
        <w:jc w:val="both"/>
      </w:pPr>
      <w:r>
        <w:rPr>
          <w:rFonts w:ascii="Times New Roman"/>
          <w:b w:val="false"/>
          <w:i w:val="false"/>
          <w:color w:val="000000"/>
          <w:sz w:val="28"/>
        </w:rPr>
        <w:t>
      "207-1) согласование условий осуществления отдельных видов деятельности Экспортно-кредитного агентства Казахстана, разрабатываемых и утверждаемых уполномоченным органом в области регулирования торговой деятельности;</w:t>
      </w:r>
    </w:p>
    <w:bookmarkEnd w:id="14"/>
    <w:bookmarkStart w:name="z23" w:id="15"/>
    <w:p>
      <w:pPr>
        <w:spacing w:after="0"/>
        <w:ind w:left="0"/>
        <w:jc w:val="both"/>
      </w:pPr>
      <w:r>
        <w:rPr>
          <w:rFonts w:ascii="Times New Roman"/>
          <w:b w:val="false"/>
          <w:i w:val="false"/>
          <w:color w:val="000000"/>
          <w:sz w:val="28"/>
        </w:rPr>
        <w:t>
      207-2) согласование правил формирования системы управления рисками и внутреннего контроля, а также формирования резервов и проведения по ним актуарных расчетов для Экспортно-кредитного агентства Казахстана, разрабатываемых и утверждаемых уполномоченным органом в области регулирования торговой деятельности;".</w:t>
      </w:r>
    </w:p>
    <w:bookmarkEnd w:id="15"/>
    <w:bookmarkStart w:name="z24" w:id="16"/>
    <w:p>
      <w:pPr>
        <w:spacing w:after="0"/>
        <w:ind w:left="0"/>
        <w:jc w:val="both"/>
      </w:pPr>
      <w:r>
        <w:rPr>
          <w:rFonts w:ascii="Times New Roman"/>
          <w:b w:val="false"/>
          <w:i w:val="false"/>
          <w:color w:val="000000"/>
          <w:sz w:val="28"/>
        </w:rPr>
        <w:t xml:space="preserve">
      2. Настоящий Указ вводится в действие по истечении десяти календарных дней после дня его первого официального опубликования, за исключением абзацев четвертого, пятого, шестого, седьмого, четырнадцатого, пятнадцатого, шестнадцатого, семнадцатого, восемнадцатого и девятнадцатого </w:t>
      </w:r>
      <w:r>
        <w:rPr>
          <w:rFonts w:ascii="Times New Roman"/>
          <w:b w:val="false"/>
          <w:i w:val="false"/>
          <w:color w:val="000000"/>
          <w:sz w:val="28"/>
        </w:rPr>
        <w:t>пункта 1</w:t>
      </w:r>
      <w:r>
        <w:rPr>
          <w:rFonts w:ascii="Times New Roman"/>
          <w:b w:val="false"/>
          <w:i w:val="false"/>
          <w:color w:val="000000"/>
          <w:sz w:val="28"/>
        </w:rPr>
        <w:t xml:space="preserve"> настоящего Указа, которые вводятся в действие с 25 марта 2024 года.</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