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634" w14:textId="b943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развития Республики Казахстан до 2029 года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30 июля 2024 года № 611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план развития</w:t>
      </w:r>
      <w:r>
        <w:rPr>
          <w:rFonts w:ascii="Times New Roman"/>
          <w:b w:val="false"/>
          <w:i w:val="false"/>
          <w:color w:val="000000"/>
          <w:sz w:val="28"/>
        </w:rPr>
        <w:t xml:space="preserve"> Республики Казахстан до 2029 года (далее - Национальный план развития).</w:t>
      </w:r>
    </w:p>
    <w:bookmarkEnd w:id="1"/>
    <w:bookmarkStart w:name="z5" w:id="2"/>
    <w:p>
      <w:pPr>
        <w:spacing w:after="0"/>
        <w:ind w:left="0"/>
        <w:jc w:val="both"/>
      </w:pPr>
      <w:r>
        <w:rPr>
          <w:rFonts w:ascii="Times New Roman"/>
          <w:b w:val="false"/>
          <w:i w:val="false"/>
          <w:color w:val="000000"/>
          <w:sz w:val="28"/>
        </w:rPr>
        <w:t>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w:t>
      </w:r>
    </w:p>
    <w:bookmarkEnd w:id="2"/>
    <w:bookmarkStart w:name="z6" w:id="3"/>
    <w:p>
      <w:pPr>
        <w:spacing w:after="0"/>
        <w:ind w:left="0"/>
        <w:jc w:val="both"/>
      </w:pPr>
      <w:r>
        <w:rPr>
          <w:rFonts w:ascii="Times New Roman"/>
          <w:b w:val="false"/>
          <w:i w:val="false"/>
          <w:color w:val="000000"/>
          <w:sz w:val="28"/>
        </w:rPr>
        <w:t>
      1) руководствоваться в своей деятельности Национальным планом развития;</w:t>
      </w:r>
    </w:p>
    <w:bookmarkEnd w:id="3"/>
    <w:bookmarkStart w:name="z7" w:id="4"/>
    <w:p>
      <w:pPr>
        <w:spacing w:after="0"/>
        <w:ind w:left="0"/>
        <w:jc w:val="both"/>
      </w:pPr>
      <w:r>
        <w:rPr>
          <w:rFonts w:ascii="Times New Roman"/>
          <w:b w:val="false"/>
          <w:i w:val="false"/>
          <w:color w:val="000000"/>
          <w:sz w:val="28"/>
        </w:rPr>
        <w:t>
      2) принять меры, вытекающие из настоящего Указа.</w:t>
      </w:r>
    </w:p>
    <w:bookmarkEnd w:id="4"/>
    <w:bookmarkStart w:name="z8" w:id="5"/>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5"/>
    <w:bookmarkStart w:name="z9" w:id="6"/>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6"/>
    <w:bookmarkStart w:name="z10"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июля 2024 года № 611</w:t>
            </w:r>
          </w:p>
        </w:tc>
      </w:tr>
    </w:tbl>
    <w:bookmarkStart w:name="z13" w:id="8"/>
    <w:p>
      <w:pPr>
        <w:spacing w:after="0"/>
        <w:ind w:left="0"/>
        <w:jc w:val="left"/>
      </w:pPr>
      <w:r>
        <w:rPr>
          <w:rFonts w:ascii="Times New Roman"/>
          <w:b/>
          <w:i w:val="false"/>
          <w:color w:val="000000"/>
        </w:rPr>
        <w:t xml:space="preserve"> НАЦИОНАЛЬНЫЙ ПЛАН РАЗВИТИЯ РЕСПУБЛИКИ КАЗАХСТАН ДО 2029 ГОД,</w:t>
      </w:r>
    </w:p>
    <w:bookmarkEnd w:id="8"/>
    <w:bookmarkStart w:name="z14" w:id="9"/>
    <w:p>
      <w:pPr>
        <w:spacing w:after="0"/>
        <w:ind w:left="0"/>
        <w:jc w:val="left"/>
      </w:pPr>
      <w:r>
        <w:rPr>
          <w:rFonts w:ascii="Times New Roman"/>
          <w:b/>
          <w:i w:val="false"/>
          <w:color w:val="000000"/>
        </w:rPr>
        <w:t xml:space="preserve"> СОДЕРЖАНИЕ</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принципы реализации</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Высокое качество жизни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Здравоохранение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Образование и наука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Социальная защита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Комфортная среда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Крепкий фундамент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Минерально-сырьевая база: нефть и газ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Минерально-сырьевая база: металлы и прочие полезные ископаемые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Энергетика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Обрабатывающая промышленность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Новые точки роста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Транспортно-логистический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Агропромышленный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Инновации, цифровая и креативная экономика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Туризм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Сквозные преобразования экономики и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Создание динамичной предпринимательской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Новый инвестиционный цикл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Повышение экологической устойчивости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Эффективные государственные финансы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Обеспечение верховенства права и повышение эффективности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p>
    <w:p>
      <w:pPr>
        <w:spacing w:after="0"/>
        <w:ind w:left="0"/>
        <w:jc w:val="both"/>
      </w:pPr>
      <w:r>
        <w:rPr>
          <w:rFonts w:ascii="Times New Roman"/>
          <w:b/>
          <w:i w:val="false"/>
          <w:color w:val="000000"/>
          <w:sz w:val="28"/>
        </w:rPr>
        <w:t>ВВЕДЕНИЕ</w:t>
      </w:r>
    </w:p>
    <w:bookmarkStart w:name="z40" w:id="13"/>
    <w:p>
      <w:pPr>
        <w:spacing w:after="0"/>
        <w:ind w:left="0"/>
        <w:jc w:val="both"/>
      </w:pPr>
      <w:r>
        <w:rPr>
          <w:rFonts w:ascii="Times New Roman"/>
          <w:b w:val="false"/>
          <w:i w:val="false"/>
          <w:color w:val="000000"/>
          <w:sz w:val="28"/>
        </w:rPr>
        <w:t>
      В 2023 году Глава государства в своем Послании народу Казахстана обозначил необходимость реализации новой парадигмы экономического развития с целью выхода на траекторию устойчивого, качественного и инклюзивного роста. Преодоление "ловушки среднего дохода" и формирование прочных институциональных и социально-экономических основ для закрепления Казахстана в когорте стран с высоким уровнем доходов являются основными целями развития на среднесрочный период.</w:t>
      </w:r>
    </w:p>
    <w:bookmarkEnd w:id="13"/>
    <w:bookmarkStart w:name="z41" w:id="14"/>
    <w:p>
      <w:pPr>
        <w:spacing w:after="0"/>
        <w:ind w:left="0"/>
        <w:jc w:val="both"/>
      </w:pPr>
      <w:r>
        <w:rPr>
          <w:rFonts w:ascii="Times New Roman"/>
          <w:b w:val="false"/>
          <w:i w:val="false"/>
          <w:color w:val="000000"/>
          <w:sz w:val="28"/>
        </w:rPr>
        <w:t>
      Достижение поставленной задачи в условиях нарастающего давления глобальных экономических, климатических и технологических мегатрендов, а также критического уровня накопленных дисбалансов в социально- экономической сфере требует приоритизации задач и формирования обновленного среднесрочного плана развития страны.</w:t>
      </w:r>
    </w:p>
    <w:bookmarkEnd w:id="14"/>
    <w:bookmarkStart w:name="z42" w:id="15"/>
    <w:p>
      <w:pPr>
        <w:spacing w:after="0"/>
        <w:ind w:left="0"/>
        <w:jc w:val="both"/>
      </w:pPr>
      <w:r>
        <w:rPr>
          <w:rFonts w:ascii="Times New Roman"/>
          <w:b w:val="false"/>
          <w:i w:val="false"/>
          <w:color w:val="000000"/>
          <w:sz w:val="28"/>
        </w:rPr>
        <w:t>
      Начавшийся процесс перенастройки глобальных цепочек и торгово- экономических связей, сопровождаемых усилением протекционизма и ограничительных мер, привел к снижению потенциала роста мировой экономики, длительному циклу повышенной инфляции и высокой конкуренции за инвестиции. В этих условиях экспортно-сырьевая модель экономики Казахстана ограничена в возможностях генерации доходов в бюджет и инвестиций в ее диверсификацию.</w:t>
      </w:r>
    </w:p>
    <w:bookmarkEnd w:id="15"/>
    <w:bookmarkStart w:name="z43" w:id="16"/>
    <w:p>
      <w:pPr>
        <w:spacing w:after="0"/>
        <w:ind w:left="0"/>
        <w:jc w:val="both"/>
      </w:pPr>
      <w:r>
        <w:rPr>
          <w:rFonts w:ascii="Times New Roman"/>
          <w:b w:val="false"/>
          <w:i w:val="false"/>
          <w:color w:val="000000"/>
          <w:sz w:val="28"/>
        </w:rPr>
        <w:t>
      С 2014 года среднегодовой темп роста национальной экономики замедлился и сегодня составляет менее 5%. На фоне критического недоинвестирования, низких уровней инновационности и производительности экономики этого недостаточно для развития и восполнения выбывающих основных фондов.</w:t>
      </w:r>
    </w:p>
    <w:bookmarkEnd w:id="16"/>
    <w:bookmarkStart w:name="z44" w:id="17"/>
    <w:p>
      <w:pPr>
        <w:spacing w:after="0"/>
        <w:ind w:left="0"/>
        <w:jc w:val="both"/>
      </w:pPr>
      <w:r>
        <w:rPr>
          <w:rFonts w:ascii="Times New Roman"/>
          <w:b w:val="false"/>
          <w:i w:val="false"/>
          <w:color w:val="000000"/>
          <w:sz w:val="28"/>
        </w:rPr>
        <w:t>
      При этом в 2022 году более 15% ВВП и 70% экспорта Казахстана приходилось на отрасли, связанные с минеральным сырьем.</w:t>
      </w:r>
    </w:p>
    <w:bookmarkEnd w:id="17"/>
    <w:bookmarkStart w:name="z45" w:id="18"/>
    <w:p>
      <w:pPr>
        <w:spacing w:after="0"/>
        <w:ind w:left="0"/>
        <w:jc w:val="both"/>
      </w:pPr>
      <w:r>
        <w:rPr>
          <w:rFonts w:ascii="Times New Roman"/>
          <w:b w:val="false"/>
          <w:i w:val="false"/>
          <w:color w:val="000000"/>
          <w:sz w:val="28"/>
        </w:rPr>
        <w:t>
      Вместе с тем с приближением пика мирового спроса на ископаемое топливо и истощением ресурсной базы возрастает необходимость структурных изменений в экономике и проведения сбалансированной политики в сфере государственных финансов.</w:t>
      </w:r>
    </w:p>
    <w:bookmarkEnd w:id="18"/>
    <w:bookmarkStart w:name="z46" w:id="19"/>
    <w:p>
      <w:pPr>
        <w:spacing w:after="0"/>
        <w:ind w:left="0"/>
        <w:jc w:val="both"/>
      </w:pPr>
      <w:r>
        <w:rPr>
          <w:rFonts w:ascii="Times New Roman"/>
          <w:b w:val="false"/>
          <w:i w:val="false"/>
          <w:color w:val="000000"/>
          <w:sz w:val="28"/>
        </w:rPr>
        <w:t>
      В то же время доля бюджета на развитие экономики через капитальные затраты за 10 лет снизилась, при этом доля государственной поддержки в структуре доходов населения возросла с 14% в 2010 году до 23% в 2022 году.</w:t>
      </w:r>
    </w:p>
    <w:bookmarkEnd w:id="19"/>
    <w:bookmarkStart w:name="z47" w:id="20"/>
    <w:p>
      <w:pPr>
        <w:spacing w:after="0"/>
        <w:ind w:left="0"/>
        <w:jc w:val="both"/>
      </w:pPr>
      <w:r>
        <w:rPr>
          <w:rFonts w:ascii="Times New Roman"/>
          <w:b w:val="false"/>
          <w:i w:val="false"/>
          <w:color w:val="000000"/>
          <w:sz w:val="28"/>
        </w:rPr>
        <w:t>
      Экономический рост Казахстана в прошлые десятилетия сопровождался значительным воздействием на состояние окружающей среды, которое в совокупности с глобальными экологическими факторами усилило экологическую ситуацию. Казахстан входит в топ-20 стран по объему выбросов парниковых газов, а две трети земель, где проживает более 20% населения страны, подвержены риску засухи. Решение этих проблем требует безотлагательных действий в соответствии с принятыми страной обязательствами по достижению углеродной нейтральности к 2060 году.</w:t>
      </w:r>
    </w:p>
    <w:bookmarkEnd w:id="20"/>
    <w:bookmarkStart w:name="z48" w:id="21"/>
    <w:p>
      <w:pPr>
        <w:spacing w:after="0"/>
        <w:ind w:left="0"/>
        <w:jc w:val="both"/>
      </w:pPr>
      <w:r>
        <w:rPr>
          <w:rFonts w:ascii="Times New Roman"/>
          <w:b w:val="false"/>
          <w:i w:val="false"/>
          <w:color w:val="000000"/>
          <w:sz w:val="28"/>
        </w:rPr>
        <w:t>
      Все это формирует вызовы для устойчивого развития казахстанской экономики.</w:t>
      </w:r>
    </w:p>
    <w:bookmarkEnd w:id="21"/>
    <w:bookmarkStart w:name="z49" w:id="22"/>
    <w:p>
      <w:pPr>
        <w:spacing w:after="0"/>
        <w:ind w:left="0"/>
        <w:jc w:val="both"/>
      </w:pPr>
      <w:r>
        <w:rPr>
          <w:rFonts w:ascii="Times New Roman"/>
          <w:b w:val="false"/>
          <w:i w:val="false"/>
          <w:color w:val="000000"/>
          <w:sz w:val="28"/>
        </w:rPr>
        <w:t>
      В то же время Казахстан имеет высокий потенциал участия в глобальном буме прорывных технологий, для извлечения выгод из которого потребуются широкая трансформация навыков и наращивание человеческого капитала, а также развитие современной цифровой инфраструктуры.</w:t>
      </w:r>
    </w:p>
    <w:bookmarkEnd w:id="22"/>
    <w:bookmarkStart w:name="z50" w:id="23"/>
    <w:p>
      <w:pPr>
        <w:spacing w:after="0"/>
        <w:ind w:left="0"/>
        <w:jc w:val="both"/>
      </w:pPr>
      <w:r>
        <w:rPr>
          <w:rFonts w:ascii="Times New Roman"/>
          <w:b w:val="false"/>
          <w:i w:val="false"/>
          <w:color w:val="000000"/>
          <w:sz w:val="28"/>
        </w:rPr>
        <w:t>
      С учетом перечисленных вызовов разработан Национальный план развития Республики Казахстан до 2029 года.</w:t>
      </w:r>
    </w:p>
    <w:bookmarkEnd w:id="23"/>
    <w:bookmarkStart w:name="z51" w:id="24"/>
    <w:p>
      <w:pPr>
        <w:spacing w:after="0"/>
        <w:ind w:left="0"/>
        <w:jc w:val="both"/>
      </w:pPr>
      <w:r>
        <w:rPr>
          <w:rFonts w:ascii="Times New Roman"/>
          <w:b w:val="false"/>
          <w:i w:val="false"/>
          <w:color w:val="000000"/>
          <w:sz w:val="28"/>
        </w:rPr>
        <w:t>
      Качественной составляющей экономического роста станет кратное увеличение инвестиций в основной капитал и производительности труда, сопровождающееся увеличением выпуска товаров верхнего и среднего переделов.</w:t>
      </w:r>
    </w:p>
    <w:bookmarkEnd w:id="24"/>
    <w:bookmarkStart w:name="z52" w:id="25"/>
    <w:p>
      <w:pPr>
        <w:spacing w:after="0"/>
        <w:ind w:left="0"/>
        <w:jc w:val="both"/>
      </w:pPr>
      <w:r>
        <w:rPr>
          <w:rFonts w:ascii="Times New Roman"/>
          <w:b w:val="false"/>
          <w:i w:val="false"/>
          <w:color w:val="000000"/>
          <w:sz w:val="28"/>
        </w:rPr>
        <w:t>
      В сочетании с устойчивым использованием ресурсов и защитой окружающей среды, а также дальнейшим улучшением системы правосудия и правоохранительных органов инициативы государства будут направлены на повышение благосостояния населения и построение инклюзивного общества путем создания равных возможностей для каждого гражданина.</w:t>
      </w:r>
    </w:p>
    <w:bookmarkEnd w:id="25"/>
    <w:p>
      <w:pPr>
        <w:spacing w:after="0"/>
        <w:ind w:left="0"/>
        <w:jc w:val="both"/>
      </w:pPr>
      <w:r>
        <w:rPr>
          <w:rFonts w:ascii="Times New Roman"/>
          <w:b/>
          <w:i w:val="false"/>
          <w:color w:val="000000"/>
          <w:sz w:val="28"/>
        </w:rPr>
        <w:t>ОСНОВНЫЕ ПРИНЦИПЫ РЕАЛИЗАЦИИ</w:t>
      </w:r>
    </w:p>
    <w:bookmarkStart w:name="z54" w:id="26"/>
    <w:p>
      <w:pPr>
        <w:spacing w:after="0"/>
        <w:ind w:left="0"/>
        <w:jc w:val="both"/>
      </w:pPr>
      <w:r>
        <w:rPr>
          <w:rFonts w:ascii="Times New Roman"/>
          <w:b w:val="false"/>
          <w:i w:val="false"/>
          <w:color w:val="000000"/>
          <w:sz w:val="28"/>
        </w:rPr>
        <w:t>
      Структурное обновление и стабильный рост экономики - фундаментальные задачи, от которых зависит улучшение благосостояния казахстанцев и выполнение целей Национального плана развития Республики Казахстан до 2029 года.</w:t>
      </w:r>
    </w:p>
    <w:bookmarkEnd w:id="26"/>
    <w:bookmarkStart w:name="z55" w:id="27"/>
    <w:p>
      <w:pPr>
        <w:spacing w:after="0"/>
        <w:ind w:left="0"/>
        <w:jc w:val="both"/>
      </w:pPr>
      <w:r>
        <w:rPr>
          <w:rFonts w:ascii="Times New Roman"/>
          <w:b w:val="false"/>
          <w:i w:val="false"/>
          <w:color w:val="000000"/>
          <w:sz w:val="28"/>
        </w:rPr>
        <w:t>
      В этой связи в рамках Национального плана развития Республики Казахстан до 2029 года определены пять сквозных принципов, лежащих в основе экономических преобразований. Данные принципы задают ценностные ориентиры среднесрочного видения и находят отражение в приоритетах развития и ожидаемых результатах.</w:t>
      </w:r>
    </w:p>
    <w:bookmarkEnd w:id="27"/>
    <w:bookmarkStart w:name="z56" w:id="28"/>
    <w:p>
      <w:pPr>
        <w:spacing w:after="0"/>
        <w:ind w:left="0"/>
        <w:jc w:val="both"/>
      </w:pPr>
      <w:r>
        <w:rPr>
          <w:rFonts w:ascii="Times New Roman"/>
          <w:b w:val="false"/>
          <w:i w:val="false"/>
          <w:color w:val="000000"/>
          <w:sz w:val="28"/>
        </w:rPr>
        <w:t xml:space="preserve">
      - </w:t>
      </w:r>
      <w:r>
        <w:rPr>
          <w:rFonts w:ascii="Times New Roman"/>
          <w:b/>
          <w:i w:val="false"/>
          <w:color w:val="000000"/>
          <w:sz w:val="28"/>
        </w:rPr>
        <w:t>Либерализация и стимулирование конкуренции</w:t>
      </w:r>
      <w:r>
        <w:rPr>
          <w:rFonts w:ascii="Times New Roman"/>
          <w:b w:val="false"/>
          <w:i w:val="false"/>
          <w:color w:val="000000"/>
          <w:sz w:val="28"/>
        </w:rPr>
        <w:t xml:space="preserve"> для повышения глобальной конкурентоспособности и улучшения качества товаров и услуг.</w:t>
      </w:r>
    </w:p>
    <w:bookmarkEnd w:id="28"/>
    <w:bookmarkStart w:name="z57" w:id="29"/>
    <w:p>
      <w:pPr>
        <w:spacing w:after="0"/>
        <w:ind w:left="0"/>
        <w:jc w:val="both"/>
      </w:pPr>
      <w:r>
        <w:rPr>
          <w:rFonts w:ascii="Times New Roman"/>
          <w:b w:val="false"/>
          <w:i w:val="false"/>
          <w:color w:val="000000"/>
          <w:sz w:val="28"/>
        </w:rPr>
        <w:t xml:space="preserve">
      - </w:t>
      </w:r>
      <w:r>
        <w:rPr>
          <w:rFonts w:ascii="Times New Roman"/>
          <w:b/>
          <w:i w:val="false"/>
          <w:color w:val="000000"/>
          <w:sz w:val="28"/>
        </w:rPr>
        <w:t>Защита и развитие предпринимательства, понятная, предсказуемая и привлекательная для инвесторов экономическая политика</w:t>
      </w:r>
      <w:r>
        <w:rPr>
          <w:rFonts w:ascii="Times New Roman"/>
          <w:b w:val="false"/>
          <w:i w:val="false"/>
          <w:color w:val="000000"/>
          <w:sz w:val="28"/>
        </w:rPr>
        <w:t>, которая позволит обеспечить экономику достаточными инвестициями для роста.</w:t>
      </w:r>
    </w:p>
    <w:bookmarkEnd w:id="29"/>
    <w:bookmarkStart w:name="z58" w:id="30"/>
    <w:p>
      <w:pPr>
        <w:spacing w:after="0"/>
        <w:ind w:left="0"/>
        <w:jc w:val="both"/>
      </w:pPr>
      <w:r>
        <w:rPr>
          <w:rFonts w:ascii="Times New Roman"/>
          <w:b w:val="false"/>
          <w:i w:val="false"/>
          <w:color w:val="000000"/>
          <w:sz w:val="28"/>
        </w:rPr>
        <w:t xml:space="preserve">
      - </w:t>
      </w:r>
      <w:r>
        <w:rPr>
          <w:rFonts w:ascii="Times New Roman"/>
          <w:b/>
          <w:i w:val="false"/>
          <w:color w:val="000000"/>
          <w:sz w:val="28"/>
        </w:rPr>
        <w:t>Раскрытие потенциала казахстанцев</w:t>
      </w:r>
      <w:r>
        <w:rPr>
          <w:rFonts w:ascii="Times New Roman"/>
          <w:b w:val="false"/>
          <w:i w:val="false"/>
          <w:color w:val="000000"/>
          <w:sz w:val="28"/>
        </w:rPr>
        <w:t xml:space="preserve"> с фокусом на обеспечении качественного образования и поддержке предпринимательской и творческой инициативы.</w:t>
      </w:r>
    </w:p>
    <w:bookmarkEnd w:id="30"/>
    <w:bookmarkStart w:name="z59" w:id="31"/>
    <w:p>
      <w:pPr>
        <w:spacing w:after="0"/>
        <w:ind w:left="0"/>
        <w:jc w:val="both"/>
      </w:pPr>
      <w:r>
        <w:rPr>
          <w:rFonts w:ascii="Times New Roman"/>
          <w:b w:val="false"/>
          <w:i w:val="false"/>
          <w:color w:val="000000"/>
          <w:sz w:val="28"/>
        </w:rPr>
        <w:t xml:space="preserve">
      - </w:t>
      </w:r>
      <w:r>
        <w:rPr>
          <w:rFonts w:ascii="Times New Roman"/>
          <w:b/>
          <w:i w:val="false"/>
          <w:color w:val="000000"/>
          <w:sz w:val="28"/>
        </w:rPr>
        <w:t>Фокус на повышении производительности и сложности экономики</w:t>
      </w:r>
      <w:r>
        <w:rPr>
          <w:rFonts w:ascii="Times New Roman"/>
          <w:b w:val="false"/>
          <w:i w:val="false"/>
          <w:color w:val="000000"/>
          <w:sz w:val="28"/>
        </w:rPr>
        <w:t xml:space="preserve"> через расширение инновационной активности, модернизацию и цифровизацию отраслей и предприятий.</w:t>
      </w:r>
    </w:p>
    <w:bookmarkEnd w:id="31"/>
    <w:bookmarkStart w:name="z60" w:id="32"/>
    <w:p>
      <w:pPr>
        <w:spacing w:after="0"/>
        <w:ind w:left="0"/>
        <w:jc w:val="both"/>
      </w:pPr>
      <w:r>
        <w:rPr>
          <w:rFonts w:ascii="Times New Roman"/>
          <w:b w:val="false"/>
          <w:i w:val="false"/>
          <w:color w:val="000000"/>
          <w:sz w:val="28"/>
        </w:rPr>
        <w:t xml:space="preserve">
      - </w:t>
      </w:r>
      <w:r>
        <w:rPr>
          <w:rFonts w:ascii="Times New Roman"/>
          <w:b/>
          <w:i w:val="false"/>
          <w:color w:val="000000"/>
          <w:sz w:val="28"/>
        </w:rPr>
        <w:t>Недопущение критических разрывов в развитии регионов и создание условий для реализации регионами своего потенциала и большей экономической самостоятельности</w:t>
      </w:r>
      <w:r>
        <w:rPr>
          <w:rFonts w:ascii="Times New Roman"/>
          <w:b w:val="false"/>
          <w:i w:val="false"/>
          <w:color w:val="000000"/>
          <w:sz w:val="28"/>
        </w:rPr>
        <w:t>.</w:t>
      </w:r>
    </w:p>
    <w:bookmarkEnd w:id="32"/>
    <w:bookmarkStart w:name="z61" w:id="33"/>
    <w:p>
      <w:pPr>
        <w:spacing w:after="0"/>
        <w:ind w:left="0"/>
        <w:jc w:val="both"/>
      </w:pPr>
      <w:r>
        <w:rPr>
          <w:rFonts w:ascii="Times New Roman"/>
          <w:b w:val="false"/>
          <w:i w:val="false"/>
          <w:color w:val="000000"/>
          <w:sz w:val="28"/>
        </w:rPr>
        <w:t>
      Национальный план развития Республики Казахстан до 2029 года включает 17 направлений развития, сгруппированных в 4 блока на основе общности запланированных результатов и механизмов реализации.</w:t>
      </w:r>
    </w:p>
    <w:bookmarkEnd w:id="33"/>
    <w:bookmarkStart w:name="z62" w:id="34"/>
    <w:p>
      <w:pPr>
        <w:spacing w:after="0"/>
        <w:ind w:left="0"/>
        <w:jc w:val="both"/>
      </w:pPr>
      <w:r>
        <w:rPr>
          <w:rFonts w:ascii="Times New Roman"/>
          <w:b w:val="false"/>
          <w:i w:val="false"/>
          <w:color w:val="000000"/>
          <w:sz w:val="28"/>
        </w:rPr>
        <w:t>
      Подходы Национального плана развития Республики Казахстан до 2029 года направлены в том числе на ускорение переходных процессов для достижения Целей устойчивого развития, являющихся ключевой повесткой дня Организации Объединенных Наций на период до 2030 года.</w:t>
      </w:r>
    </w:p>
    <w:bookmarkEnd w:id="34"/>
    <w:bookmarkStart w:name="z63" w:id="35"/>
    <w:p>
      <w:pPr>
        <w:spacing w:after="0"/>
        <w:ind w:left="0"/>
        <w:jc w:val="both"/>
      </w:pPr>
      <w:r>
        <w:rPr>
          <w:rFonts w:ascii="Times New Roman"/>
          <w:b w:val="false"/>
          <w:i w:val="false"/>
          <w:color w:val="000000"/>
          <w:sz w:val="28"/>
        </w:rPr>
        <w:t>
      Для каждого направления определены целевые индикаторы и их значения на 2029 год, а также ключевые приоритеты развития, поддерживаемые списком соответствующих ожидаемых результатов. При этом важно отметить, что Национальный план развития Республики Казахстан до 2029 года не ставит задачи дать исчерпывающий список мер для реализации в ближайшие годы и поэтому не ограничивает Правительство Республики Казахстан (далее - Правительство) и ответственные органы в инструментах достижения целей.</w:t>
      </w:r>
    </w:p>
    <w:bookmarkEnd w:id="35"/>
    <w:bookmarkStart w:name="z64" w:id="36"/>
    <w:p>
      <w:pPr>
        <w:spacing w:after="0"/>
        <w:ind w:left="0"/>
        <w:jc w:val="both"/>
      </w:pPr>
      <w:r>
        <w:rPr>
          <w:rFonts w:ascii="Times New Roman"/>
          <w:b w:val="false"/>
          <w:i w:val="false"/>
          <w:color w:val="000000"/>
          <w:sz w:val="28"/>
        </w:rPr>
        <w:t>
      Для достижения стратегических направлений Национального плана развития Республики Казахстан до 2029 года сформирована карта ключевых национальных индикаторов, включающая 39 показателей социально- экономического развития страны, декомпозиция которых в соответствии с Системой государственного планирования будет проводиться в разрезе отраслей и регионов. В карту ключевых национальных индикаторов также включен ряд показателей по измерению уровня благосостояния граждан и качества социальных благ.</w:t>
      </w:r>
    </w:p>
    <w:bookmarkEnd w:id="36"/>
    <w:bookmarkStart w:name="z65" w:id="37"/>
    <w:p>
      <w:pPr>
        <w:spacing w:after="0"/>
        <w:ind w:left="0"/>
        <w:jc w:val="both"/>
      </w:pPr>
      <w:r>
        <w:rPr>
          <w:rFonts w:ascii="Times New Roman"/>
          <w:b w:val="false"/>
          <w:i w:val="false"/>
          <w:color w:val="000000"/>
          <w:sz w:val="28"/>
        </w:rPr>
        <w:t>
      Для мониторинга качественного институционального улучшения в рамках Национального плана развития Республики Казахстан до 2029 года среди населения и бизнеса будут проводиться социологические опросы.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 ВЫСОКОЕ КАЧЕСТВО ЖИЗНИ</w:t>
      </w:r>
    </w:p>
    <w:p>
      <w:pPr>
        <w:spacing w:after="0"/>
        <w:ind w:left="0"/>
        <w:jc w:val="both"/>
      </w:pPr>
      <w:r>
        <w:rPr>
          <w:rFonts w:ascii="Times New Roman"/>
          <w:b/>
          <w:i w:val="false"/>
          <w:color w:val="000000"/>
          <w:sz w:val="28"/>
        </w:rPr>
        <w:t>1.1. ЗДРАВООХРАНЕНИЕ</w:t>
      </w:r>
    </w:p>
    <w:bookmarkStart w:name="z69" w:id="3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8"/>
    <w:bookmarkStart w:name="z70" w:id="39"/>
    <w:p>
      <w:pPr>
        <w:spacing w:after="0"/>
        <w:ind w:left="0"/>
        <w:jc w:val="both"/>
      </w:pPr>
      <w:r>
        <w:rPr>
          <w:rFonts w:ascii="Times New Roman"/>
          <w:b w:val="false"/>
          <w:i w:val="false"/>
          <w:color w:val="000000"/>
          <w:sz w:val="28"/>
        </w:rPr>
        <w:t>
      За последние 5 лет в Казахстане ожидаемая продолжительность жизни увеличилась на 1,9 года и коэффициент младенческой смертности снизился на 3%. Однако общие показатели смертности все еще выше среднего уровня стран ОЭСР на 19% за счет сравнительно высокой смертности по болезням системы кровообращения, нервной системы, органов дыхания и пищеварения.</w:t>
      </w:r>
    </w:p>
    <w:bookmarkEnd w:id="39"/>
    <w:bookmarkStart w:name="z71" w:id="40"/>
    <w:p>
      <w:pPr>
        <w:spacing w:after="0"/>
        <w:ind w:left="0"/>
        <w:jc w:val="both"/>
      </w:pPr>
      <w:r>
        <w:rPr>
          <w:rFonts w:ascii="Times New Roman"/>
          <w:b w:val="false"/>
          <w:i w:val="false"/>
          <w:color w:val="000000"/>
          <w:sz w:val="28"/>
        </w:rPr>
        <w:t>
      Слабое развитие имеет фармацевтическая отрасль: в 2023 году доля лекарственных средств и медицинских изделий отечественного производства на локальном фармацевтическом рынке составила всего 14,4%, а доля казахстанской отечественной продукции в быстрорастущих объемах закупа лекарственных средств - всего 32%.</w:t>
      </w:r>
    </w:p>
    <w:bookmarkEnd w:id="40"/>
    <w:bookmarkStart w:name="z72" w:id="41"/>
    <w:p>
      <w:pPr>
        <w:spacing w:after="0"/>
        <w:ind w:left="0"/>
        <w:jc w:val="both"/>
      </w:pPr>
      <w:r>
        <w:rPr>
          <w:rFonts w:ascii="Times New Roman"/>
          <w:b w:val="false"/>
          <w:i w:val="false"/>
          <w:color w:val="000000"/>
          <w:sz w:val="28"/>
        </w:rPr>
        <w:t>
      В рейтинге стран по уровню медицинского обслуживания Numbeo в 2024 году Казахстан занял 60-е место из 94 стран, поднявшись с 2020 года на 26 строчек. Самая низкая оценка в 2024 году отмечена по таким компонентам, как удовлетворенность оперативностью (ожиданием) и удовлетворенность квалификацией и компетентностью медицинского персонала.</w:t>
      </w:r>
    </w:p>
    <w:bookmarkEnd w:id="41"/>
    <w:bookmarkStart w:name="z73" w:id="42"/>
    <w:p>
      <w:pPr>
        <w:spacing w:after="0"/>
        <w:ind w:left="0"/>
        <w:jc w:val="both"/>
      </w:pPr>
      <w:r>
        <w:rPr>
          <w:rFonts w:ascii="Times New Roman"/>
          <w:b w:val="false"/>
          <w:i w:val="false"/>
          <w:color w:val="000000"/>
          <w:sz w:val="28"/>
        </w:rPr>
        <w:t xml:space="preserve">
      </w:t>
      </w:r>
      <w:r>
        <w:rPr>
          <w:rFonts w:ascii="Times New Roman"/>
          <w:b/>
          <w:i w:val="false"/>
          <w:color w:val="000000"/>
          <w:sz w:val="28"/>
        </w:rPr>
        <w:t>Неэффективность системы финансирования здравоохранения</w:t>
      </w:r>
    </w:p>
    <w:bookmarkEnd w:id="42"/>
    <w:bookmarkStart w:name="z74" w:id="43"/>
    <w:p>
      <w:pPr>
        <w:spacing w:after="0"/>
        <w:ind w:left="0"/>
        <w:jc w:val="both"/>
      </w:pPr>
      <w:r>
        <w:rPr>
          <w:rFonts w:ascii="Times New Roman"/>
          <w:b w:val="false"/>
          <w:i w:val="false"/>
          <w:color w:val="000000"/>
          <w:sz w:val="28"/>
        </w:rPr>
        <w:t>
      За годы внедрения обязательного социального медицинского страхования (далее - ОСМС) финансирование здравоохранения в Казахстане выросло почти в разы, и по итогам 2023 года текущие расходы здравоохранения (за вычетом капитальных расходов) составили 4,4 трлн тенге, или 3,7% от ВВП. Однако эти показатели в 2,5 раза ниже среднего показателя в странах ОЭСР (9,2%).</w:t>
      </w:r>
    </w:p>
    <w:bookmarkEnd w:id="43"/>
    <w:bookmarkStart w:name="z75" w:id="44"/>
    <w:p>
      <w:pPr>
        <w:spacing w:after="0"/>
        <w:ind w:left="0"/>
        <w:jc w:val="both"/>
      </w:pPr>
      <w:r>
        <w:rPr>
          <w:rFonts w:ascii="Times New Roman"/>
          <w:b w:val="false"/>
          <w:i w:val="false"/>
          <w:color w:val="000000"/>
          <w:sz w:val="28"/>
        </w:rPr>
        <w:t>
      Несмотря на значительное увеличение объемов финансирования, система здравоохранения продолжает испытывать определенные трудности, что сказывается на качестве и доступности медицинской помощи.</w:t>
      </w:r>
    </w:p>
    <w:bookmarkEnd w:id="44"/>
    <w:bookmarkStart w:name="z76" w:id="45"/>
    <w:p>
      <w:pPr>
        <w:spacing w:after="0"/>
        <w:ind w:left="0"/>
        <w:jc w:val="both"/>
      </w:pPr>
      <w:r>
        <w:rPr>
          <w:rFonts w:ascii="Times New Roman"/>
          <w:b w:val="false"/>
          <w:i w:val="false"/>
          <w:color w:val="000000"/>
          <w:sz w:val="28"/>
        </w:rPr>
        <w:t>
      Так, одной из основных причин недофинансирования системы здравоохранения являются низкие тарифы на медицинские услуги, которые не покрывают некоторые виды расходов и не индексируются на инфляцию, что ограничивает привлечение частных поставщиков услуг, обновление инфраструктуры, повышение качества и доступности медицинских услуг. В результате медицинские организации ежегодно сталкиваются с острым дефицитом финансовых средств.</w:t>
      </w:r>
    </w:p>
    <w:bookmarkEnd w:id="45"/>
    <w:bookmarkStart w:name="z77" w:id="46"/>
    <w:p>
      <w:pPr>
        <w:spacing w:after="0"/>
        <w:ind w:left="0"/>
        <w:jc w:val="both"/>
      </w:pPr>
      <w:r>
        <w:rPr>
          <w:rFonts w:ascii="Times New Roman"/>
          <w:b w:val="false"/>
          <w:i w:val="false"/>
          <w:color w:val="000000"/>
          <w:sz w:val="28"/>
        </w:rPr>
        <w:t>
      Другой проблемой является непрозрачное и неэффективное расходование выделяемых средств медицинскими организациями, коррупционные риски в виде хищений и приписок.</w:t>
      </w:r>
    </w:p>
    <w:bookmarkEnd w:id="46"/>
    <w:bookmarkStart w:name="z78" w:id="47"/>
    <w:p>
      <w:pPr>
        <w:spacing w:after="0"/>
        <w:ind w:left="0"/>
        <w:jc w:val="both"/>
      </w:pPr>
      <w:r>
        <w:rPr>
          <w:rFonts w:ascii="Times New Roman"/>
          <w:b w:val="false"/>
          <w:i w:val="false"/>
          <w:color w:val="000000"/>
          <w:sz w:val="28"/>
        </w:rPr>
        <w:t>
      В целом, доля "карманных" расходов граждан в общей структуре расходов на здравоохранение в 2023 году составила 26,6% (2022 г. -29,6%, 2021 г. -23,9%, 2020 г. - 26,3%), что выше уровня 15 - 20%, рекомендованного Всемирной организацией здравоохранения (ВОЗ).</w:t>
      </w:r>
    </w:p>
    <w:bookmarkEnd w:id="47"/>
    <w:bookmarkStart w:name="z79" w:id="48"/>
    <w:p>
      <w:pPr>
        <w:spacing w:after="0"/>
        <w:ind w:left="0"/>
        <w:jc w:val="both"/>
      </w:pPr>
      <w:r>
        <w:rPr>
          <w:rFonts w:ascii="Times New Roman"/>
          <w:b w:val="false"/>
          <w:i w:val="false"/>
          <w:color w:val="000000"/>
          <w:sz w:val="28"/>
        </w:rPr>
        <w:t xml:space="preserve">
      </w:t>
      </w:r>
      <w:r>
        <w:rPr>
          <w:rFonts w:ascii="Times New Roman"/>
          <w:b/>
          <w:i w:val="false"/>
          <w:color w:val="000000"/>
          <w:sz w:val="28"/>
        </w:rPr>
        <w:t>Износ и устаревание медицинской инфраструктуры</w:t>
      </w:r>
    </w:p>
    <w:bookmarkEnd w:id="48"/>
    <w:bookmarkStart w:name="z80" w:id="49"/>
    <w:p>
      <w:pPr>
        <w:spacing w:after="0"/>
        <w:ind w:left="0"/>
        <w:jc w:val="both"/>
      </w:pPr>
      <w:r>
        <w:rPr>
          <w:rFonts w:ascii="Times New Roman"/>
          <w:b w:val="false"/>
          <w:i w:val="false"/>
          <w:color w:val="000000"/>
          <w:sz w:val="28"/>
        </w:rPr>
        <w:t>
      В среднем по стране уровень износа объектов здравоохранения составляет 49,3%, при этом капитальный ремонт необходим порядка 40% объектов всей инфраструктуры здравоохранения. Более 35% объектов по стране нетиповые (приспособленные), что, в свою очередь, не позволяет развивать новые технологии, обеспечивать надлежащие условия для пациентов и (или) персонала. Износ оборудования в среднем составляет 66,3% (из них медицинского - 49,1%, лабораторного - 83,5%).</w:t>
      </w:r>
    </w:p>
    <w:bookmarkEnd w:id="49"/>
    <w:bookmarkStart w:name="z81" w:id="50"/>
    <w:p>
      <w:pPr>
        <w:spacing w:after="0"/>
        <w:ind w:left="0"/>
        <w:jc w:val="both"/>
      </w:pPr>
      <w:r>
        <w:rPr>
          <w:rFonts w:ascii="Times New Roman"/>
          <w:b w:val="false"/>
          <w:i w:val="false"/>
          <w:color w:val="000000"/>
          <w:sz w:val="28"/>
        </w:rPr>
        <w:t xml:space="preserve">
      </w:t>
      </w:r>
      <w:r>
        <w:rPr>
          <w:rFonts w:ascii="Times New Roman"/>
          <w:b/>
          <w:i w:val="false"/>
          <w:color w:val="000000"/>
          <w:sz w:val="28"/>
        </w:rPr>
        <w:t>Дефицит кадров</w:t>
      </w:r>
    </w:p>
    <w:bookmarkEnd w:id="50"/>
    <w:bookmarkStart w:name="z82" w:id="51"/>
    <w:p>
      <w:pPr>
        <w:spacing w:after="0"/>
        <w:ind w:left="0"/>
        <w:jc w:val="both"/>
      </w:pPr>
      <w:r>
        <w:rPr>
          <w:rFonts w:ascii="Times New Roman"/>
          <w:b w:val="false"/>
          <w:i w:val="false"/>
          <w:color w:val="000000"/>
          <w:sz w:val="28"/>
        </w:rPr>
        <w:t>
      В 2023 году обеспеченность врачебными кадрами в Казахстане (40,6) превысила средний показатель стран ОЭСР, который составил 33 врача на 10 тыс. населения. Однако имеются значительные дисбалансы в разрезе "город-село" (разница в 3-7 раз) и между регионами (разница в 1,7 раза от среднего). Сохраняется высокая потребность в количестве среднего медицинского персонала. По итогам 2023 года потребность во врачебных кадрах на селе (дефицит по незанятым должностям) составила 1,12 тыс. штатных единиц.</w:t>
      </w:r>
    </w:p>
    <w:bookmarkEnd w:id="51"/>
    <w:bookmarkStart w:name="z83" w:id="52"/>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Недостаточный уровень цифровизации сферы здравоохранения</w:t>
      </w:r>
    </w:p>
    <w:bookmarkEnd w:id="52"/>
    <w:bookmarkStart w:name="z84" w:id="53"/>
    <w:p>
      <w:pPr>
        <w:spacing w:after="0"/>
        <w:ind w:left="0"/>
        <w:jc w:val="both"/>
      </w:pPr>
      <w:r>
        <w:rPr>
          <w:rFonts w:ascii="Times New Roman"/>
          <w:b w:val="false"/>
          <w:i w:val="false"/>
          <w:color w:val="000000"/>
          <w:sz w:val="28"/>
        </w:rPr>
        <w:t>
      Сегодня система здравоохранения использует множество разрозненных информационных систем без должной интеграции. В результате отмечаются непрозрачность процессов оказания медицинской помощи и неэффективное использование ресурсов.</w:t>
      </w:r>
    </w:p>
    <w:bookmarkEnd w:id="53"/>
    <w:bookmarkStart w:name="z85" w:id="54"/>
    <w:p>
      <w:pPr>
        <w:spacing w:after="0"/>
        <w:ind w:left="0"/>
        <w:jc w:val="both"/>
      </w:pPr>
      <w:r>
        <w:rPr>
          <w:rFonts w:ascii="Times New Roman"/>
          <w:b w:val="false"/>
          <w:i w:val="false"/>
          <w:color w:val="000000"/>
          <w:sz w:val="28"/>
        </w:rPr>
        <w:t>
      Отсутствие должной цифровизации, негативно отражающееся на эффективности контроля и управления финансовыми потоками, и адекватности планирования объемов, включая дорогостоящие лекарственные средства, приводит к перепотреблению определенных видов помощи и перерасходу средств системы обязательного социального медицинского страхования.</w:t>
      </w:r>
    </w:p>
    <w:bookmarkEnd w:id="54"/>
    <w:bookmarkStart w:name="z86" w:id="5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55"/>
    <w:bookmarkStart w:name="z87" w:id="56"/>
    <w:p>
      <w:pPr>
        <w:spacing w:after="0"/>
        <w:ind w:left="0"/>
        <w:jc w:val="both"/>
      </w:pPr>
      <w:r>
        <w:rPr>
          <w:rFonts w:ascii="Times New Roman"/>
          <w:b w:val="false"/>
          <w:i w:val="false"/>
          <w:color w:val="000000"/>
          <w:sz w:val="28"/>
        </w:rPr>
        <w:t>
      Ключевыми целями данного направления являются повышение общего уровня здоровья населения и доведение средней продолжительности жизни до 77 лет. Развитие сферы здравоохранения до 2029 года будет направлено на предотвращение заболеваемости и снижение смертности, совершенствование системы ОСМС, повышение ее привлекательности, а также качества и доступности медицинской помощи.</w:t>
      </w:r>
    </w:p>
    <w:bookmarkEnd w:id="56"/>
    <w:bookmarkStart w:name="z88" w:id="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Усиление профилактики неинфекционных заболеваний и снижение смертности среди населения</w:t>
      </w:r>
    </w:p>
    <w:bookmarkEnd w:id="57"/>
    <w:bookmarkStart w:name="z89" w:id="58"/>
    <w:p>
      <w:pPr>
        <w:spacing w:after="0"/>
        <w:ind w:left="0"/>
        <w:jc w:val="both"/>
      </w:pPr>
      <w:r>
        <w:rPr>
          <w:rFonts w:ascii="Times New Roman"/>
          <w:b w:val="false"/>
          <w:i w:val="false"/>
          <w:color w:val="000000"/>
          <w:sz w:val="28"/>
        </w:rPr>
        <w:t>
      Усилия в данном направлении будут нацелены на предотвращение неинфекционных заболеваний и снижение смертности по ключевым факторам риска, совершенствование медицинской помощи, принятие комплексных мер по снижению материнской и младенческой смертности, а также обеспечение санитарно-эпидемиологического благополучия, биобезопасности населения и развитие отечественного фармацевтического производства.</w:t>
      </w:r>
    </w:p>
    <w:bookmarkEnd w:id="58"/>
    <w:bookmarkStart w:name="z90" w:id="59"/>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Предотвращение заболеваний</w:t>
      </w:r>
      <w:r>
        <w:rPr>
          <w:rFonts w:ascii="Times New Roman"/>
          <w:b w:val="false"/>
          <w:i w:val="false"/>
          <w:color w:val="000000"/>
          <w:sz w:val="28"/>
        </w:rPr>
        <w:t>. Основой профилактической медицины станут повышение грамотности населения в практиках здорового образа жизни, укрепление репродуктивного и ментального здоровья, профилактика поведенческих факторов риска, вакцинация, профилактический осмотр и скрининг целевой группы населения. Формирование таких основ среди молодежи начнется на уровне образовательных организаций и продолжится молодежными центрами здоровья.</w:t>
      </w:r>
    </w:p>
    <w:bookmarkEnd w:id="59"/>
    <w:bookmarkStart w:name="z91" w:id="60"/>
    <w:p>
      <w:pPr>
        <w:spacing w:after="0"/>
        <w:ind w:left="0"/>
        <w:jc w:val="both"/>
      </w:pPr>
      <w:r>
        <w:rPr>
          <w:rFonts w:ascii="Times New Roman"/>
          <w:b w:val="false"/>
          <w:i w:val="false"/>
          <w:color w:val="000000"/>
          <w:sz w:val="28"/>
        </w:rPr>
        <w:t>
      Также будут рассмотрены различные экономические стимулы для выбора здорового образа жизни, приняты меры по расширению охвата детей и подростков физической культурой.</w:t>
      </w:r>
    </w:p>
    <w:bookmarkEnd w:id="60"/>
    <w:bookmarkStart w:name="z92" w:id="61"/>
    <w:p>
      <w:pPr>
        <w:spacing w:after="0"/>
        <w:ind w:left="0"/>
        <w:jc w:val="both"/>
      </w:pPr>
      <w:r>
        <w:rPr>
          <w:rFonts w:ascii="Times New Roman"/>
          <w:b w:val="false"/>
          <w:i w:val="false"/>
          <w:color w:val="000000"/>
          <w:sz w:val="28"/>
        </w:rPr>
        <w:t>
      С целью снижения инвалидизации детей расширится комплекс диагностических процедур по выявлению генетических патологий как на ранних сроках беременности, так и в неонатальном периоде. Будут созданы условия, снижающие риски утраты трудоспособности гражданами, работающими в опасных условиях труда.</w:t>
      </w:r>
    </w:p>
    <w:bookmarkEnd w:id="61"/>
    <w:bookmarkStart w:name="z93" w:id="6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Принятие комплексных мер по снижению материнской и младенческой смертности</w:t>
      </w:r>
      <w:r>
        <w:rPr>
          <w:rFonts w:ascii="Times New Roman"/>
          <w:b w:val="false"/>
          <w:i w:val="false"/>
          <w:color w:val="000000"/>
          <w:sz w:val="28"/>
        </w:rPr>
        <w:t>. Для снижения материнской смертности будет реализован ряд системных мер: усиление мониторинга ранней постановки на учет беременных, оказание мультидисциплинарной специализированной медицинской помощи беременным и родильницам с тяжелыми заболеваниями, развитие консультативно-диагностических центров на базе ведущих перинатальных центров, расширение коечного фонда родильных отделений, внедрение и распространение современных методов контрацепции, обеспечение доступа к безопасным абортам.</w:t>
      </w:r>
    </w:p>
    <w:bookmarkEnd w:id="62"/>
    <w:bookmarkStart w:name="z94" w:id="63"/>
    <w:p>
      <w:pPr>
        <w:spacing w:after="0"/>
        <w:ind w:left="0"/>
        <w:jc w:val="both"/>
      </w:pPr>
      <w:r>
        <w:rPr>
          <w:rFonts w:ascii="Times New Roman"/>
          <w:b w:val="false"/>
          <w:i w:val="false"/>
          <w:color w:val="000000"/>
          <w:sz w:val="28"/>
        </w:rPr>
        <w:t>
      Кроме того, будет усилена профилактическая работа, включающая пропаганду здорового образа жизни, контроль и профилактику инфекций, передающихся половым путем, предгравидарную подготовку и оздоровление женщин фертильного возраста, развитие среди населения культуры планирования семьи и использования современных средств контрацепции.</w:t>
      </w:r>
    </w:p>
    <w:bookmarkEnd w:id="63"/>
    <w:bookmarkStart w:name="z95" w:id="64"/>
    <w:p>
      <w:pPr>
        <w:spacing w:after="0"/>
        <w:ind w:left="0"/>
        <w:jc w:val="both"/>
      </w:pPr>
      <w:r>
        <w:rPr>
          <w:rFonts w:ascii="Times New Roman"/>
          <w:b w:val="false"/>
          <w:i w:val="false"/>
          <w:color w:val="000000"/>
          <w:sz w:val="28"/>
        </w:rPr>
        <w:t>
      Для снижения уровня младенческой смертности планируется усовершенствовать систему пренатальной диагностики, расширить применение современных эффективных перинатальных технологий.</w:t>
      </w:r>
    </w:p>
    <w:bookmarkEnd w:id="64"/>
    <w:bookmarkStart w:name="z96" w:id="65"/>
    <w:p>
      <w:pPr>
        <w:spacing w:after="0"/>
        <w:ind w:left="0"/>
        <w:jc w:val="both"/>
      </w:pPr>
      <w:r>
        <w:rPr>
          <w:rFonts w:ascii="Times New Roman"/>
          <w:b w:val="false"/>
          <w:i w:val="false"/>
          <w:color w:val="000000"/>
          <w:sz w:val="28"/>
        </w:rPr>
        <w:t>
      Также будет продолжена реализация мер по профилактике невынашивания и осложнений беременности и родов, улучшению инфраструктуры и материально-технической базы организаций родовспоможения путем строительства современных перинатальных центров, дооснащения существующих центров современным медицинским оборудованием, а также обеспечения кадрами.</w:t>
      </w:r>
    </w:p>
    <w:bookmarkEnd w:id="65"/>
    <w:bookmarkStart w:name="z97" w:id="6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санитарно-эпидемиологического благополучия населения</w:t>
      </w:r>
      <w:r>
        <w:rPr>
          <w:rFonts w:ascii="Times New Roman"/>
          <w:b w:val="false"/>
          <w:i w:val="false"/>
          <w:color w:val="000000"/>
          <w:sz w:val="28"/>
        </w:rPr>
        <w:t>. Для обеспечения санитарно-эпидемиологического благополучия населения будут приняты меры по цифровизации соответствующей службы, укреплению кадров, внедрению системы эпидемиологического прогнозирования и реагирования. Кроме того, предусмотрено дальнейшее развитие лабораторной службы путем строительства и модернизации ее материально-технической базы.</w:t>
      </w:r>
    </w:p>
    <w:bookmarkEnd w:id="66"/>
    <w:bookmarkStart w:name="z98" w:id="67"/>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отечественного фармацевтического производства</w:t>
      </w:r>
      <w:r>
        <w:rPr>
          <w:rFonts w:ascii="Times New Roman"/>
          <w:b w:val="false"/>
          <w:i w:val="false"/>
          <w:color w:val="000000"/>
          <w:sz w:val="28"/>
        </w:rPr>
        <w:t>. В целях развития отечественного производства лекарственных средств и повышения их доступности будут приняты меры по расширению сотрудничества с глобальными фармацевтическими корпорациями, привлечению инвестиций, трансферта технологий и новейших разработок, а также локализации производства лекарственных средств.</w:t>
      </w:r>
    </w:p>
    <w:bookmarkEnd w:id="67"/>
    <w:bookmarkStart w:name="z99" w:id="6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Совершенствование системы финансирования здравоохранения</w:t>
      </w:r>
    </w:p>
    <w:bookmarkEnd w:id="68"/>
    <w:bookmarkStart w:name="z100" w:id="69"/>
    <w:p>
      <w:pPr>
        <w:spacing w:after="0"/>
        <w:ind w:left="0"/>
        <w:jc w:val="both"/>
      </w:pPr>
      <w:r>
        <w:rPr>
          <w:rFonts w:ascii="Times New Roman"/>
          <w:b w:val="false"/>
          <w:i w:val="false"/>
          <w:color w:val="000000"/>
          <w:sz w:val="28"/>
        </w:rPr>
        <w:t>
      Работа в данном направлении будет направлена на повышение качества и доступности системы ОСМС, что отразится на снижении доли карманных расходов в структуре расходов на здравоохранение.</w:t>
      </w:r>
    </w:p>
    <w:bookmarkEnd w:id="69"/>
    <w:bookmarkStart w:name="z101" w:id="70"/>
    <w:p>
      <w:pPr>
        <w:spacing w:after="0"/>
        <w:ind w:left="0"/>
        <w:jc w:val="both"/>
      </w:pPr>
      <w:r>
        <w:rPr>
          <w:rFonts w:ascii="Times New Roman"/>
          <w:b w:val="false"/>
          <w:i w:val="false"/>
          <w:color w:val="000000"/>
          <w:sz w:val="28"/>
        </w:rPr>
        <w:t xml:space="preserve">
      </w:t>
      </w:r>
      <w:r>
        <w:rPr>
          <w:rFonts w:ascii="Times New Roman"/>
          <w:b/>
          <w:i w:val="false"/>
          <w:color w:val="000000"/>
          <w:sz w:val="28"/>
        </w:rPr>
        <w:t>Актуализация тарифов</w:t>
      </w:r>
      <w:r>
        <w:rPr>
          <w:rFonts w:ascii="Times New Roman"/>
          <w:b w:val="false"/>
          <w:i w:val="false"/>
          <w:color w:val="000000"/>
          <w:sz w:val="28"/>
        </w:rPr>
        <w:t>. Планируется провести работу по актуализации тарифов, в том числе с учетом ежегодной индексации, покрытия амортизационных расходов, а также затрат на текущий ремонт. Данная мера также окажет положительное влияние на финансовую устойчивость медицинских организаций.</w:t>
      </w:r>
    </w:p>
    <w:bookmarkEnd w:id="70"/>
    <w:bookmarkStart w:name="z102" w:id="71"/>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и доступности системы ОСМС и гарантированного объема бесплатной медицинской помощи (далее - ГОБМП</w:t>
      </w:r>
      <w:r>
        <w:rPr>
          <w:rFonts w:ascii="Times New Roman"/>
          <w:b w:val="false"/>
          <w:i w:val="false"/>
          <w:color w:val="000000"/>
          <w:sz w:val="28"/>
        </w:rPr>
        <w:t>). В целях повышения качества и доступности медицинских услуг будут приняты комплексные меры по повышению эффективности системы организации, планирования медицинской помощи в рамках ОСМС.</w:t>
      </w:r>
    </w:p>
    <w:bookmarkEnd w:id="71"/>
    <w:bookmarkStart w:name="z103" w:id="72"/>
    <w:p>
      <w:pPr>
        <w:spacing w:after="0"/>
        <w:ind w:left="0"/>
        <w:jc w:val="both"/>
      </w:pPr>
      <w:r>
        <w:rPr>
          <w:rFonts w:ascii="Times New Roman"/>
          <w:b w:val="false"/>
          <w:i w:val="false"/>
          <w:color w:val="000000"/>
          <w:sz w:val="28"/>
        </w:rPr>
        <w:t>
      Прежде всего, это повышение финансовой устойчивости системы ОСМС путем совершенствования фондирования, выстраивания правильных процессов для минимизации коррупционных рисков и неэффективных расходов, повышения эффективности администрирования пакетов ГОБМП и ОСМС, а также автоматизации процесса управления.</w:t>
      </w:r>
    </w:p>
    <w:bookmarkEnd w:id="72"/>
    <w:bookmarkStart w:name="z104" w:id="73"/>
    <w:p>
      <w:pPr>
        <w:spacing w:after="0"/>
        <w:ind w:left="0"/>
        <w:jc w:val="both"/>
      </w:pPr>
      <w:r>
        <w:rPr>
          <w:rFonts w:ascii="Times New Roman"/>
          <w:b w:val="false"/>
          <w:i w:val="false"/>
          <w:color w:val="000000"/>
          <w:sz w:val="28"/>
        </w:rPr>
        <w:t>
      В целях стимулирования поставщиков медицинских услуг к повышению качества предоставления услуг, безопасности пациентов и эффективности лечения будут также рассмотрены варианты совершенствования механизмов оплаты услуг.</w:t>
      </w:r>
    </w:p>
    <w:bookmarkEnd w:id="73"/>
    <w:bookmarkStart w:name="z105" w:id="74"/>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охвата населения ОСМС</w:t>
      </w:r>
      <w:r>
        <w:rPr>
          <w:rFonts w:ascii="Times New Roman"/>
          <w:b w:val="false"/>
          <w:i w:val="false"/>
          <w:color w:val="000000"/>
          <w:sz w:val="28"/>
        </w:rPr>
        <w:t>. Для увеличения охвата населения системой ОСМС будут внедрены и усовершенствованы условия вовлечения самозанятых, а также обеспечено межсекторальное взаимодействие.</w:t>
      </w:r>
    </w:p>
    <w:bookmarkEnd w:id="74"/>
    <w:bookmarkStart w:name="z106" w:id="7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качества медицинского обслуживания</w:t>
      </w:r>
    </w:p>
    <w:bookmarkEnd w:id="75"/>
    <w:bookmarkStart w:name="z107" w:id="76"/>
    <w:p>
      <w:pPr>
        <w:spacing w:after="0"/>
        <w:ind w:left="0"/>
        <w:jc w:val="both"/>
      </w:pPr>
      <w:r>
        <w:rPr>
          <w:rFonts w:ascii="Times New Roman"/>
          <w:b w:val="false"/>
          <w:i w:val="false"/>
          <w:color w:val="000000"/>
          <w:sz w:val="28"/>
        </w:rPr>
        <w:t>
      Ключевым результатом в данном направлении станет повышение уровня удовлетворенности населения медицинскими услугами.</w:t>
      </w:r>
    </w:p>
    <w:bookmarkEnd w:id="76"/>
    <w:bookmarkStart w:name="z108" w:id="77"/>
    <w:p>
      <w:pPr>
        <w:spacing w:after="0"/>
        <w:ind w:left="0"/>
        <w:jc w:val="both"/>
      </w:pPr>
      <w:r>
        <w:rPr>
          <w:rFonts w:ascii="Times New Roman"/>
          <w:b w:val="false"/>
          <w:i w:val="false"/>
          <w:color w:val="000000"/>
          <w:sz w:val="28"/>
        </w:rPr>
        <w:t>
      Основной задачей определено повышение качества медицинского обслуживания с помощью цифровых технологий, эффективности работы поставщиков медицинских услуг и квалификации медицинских кадров.</w:t>
      </w:r>
    </w:p>
    <w:bookmarkEnd w:id="77"/>
    <w:bookmarkStart w:name="z109" w:id="78"/>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Подготовка и повышение квалификации медицинских кадров</w:t>
      </w:r>
      <w:r>
        <w:rPr>
          <w:rFonts w:ascii="Times New Roman"/>
          <w:b w:val="false"/>
          <w:i w:val="false"/>
          <w:color w:val="000000"/>
          <w:sz w:val="28"/>
        </w:rPr>
        <w:t>. Для повышения качества медицинской помощи запланированы организация подготовки специализированных кадров на основе интегрированной образовательной модели, создание условий для непрерывного профессионального развития, а также повышение статуса медицинских и фармацевтических работников.</w:t>
      </w:r>
    </w:p>
    <w:bookmarkEnd w:id="78"/>
    <w:bookmarkStart w:name="z110" w:id="79"/>
    <w:p>
      <w:pPr>
        <w:spacing w:after="0"/>
        <w:ind w:left="0"/>
        <w:jc w:val="both"/>
      </w:pPr>
      <w:r>
        <w:rPr>
          <w:rFonts w:ascii="Times New Roman"/>
          <w:b w:val="false"/>
          <w:i w:val="false"/>
          <w:color w:val="000000"/>
          <w:sz w:val="28"/>
        </w:rPr>
        <w:t>
      Кроме того, усилия будут сосредоточены на развитии медицинских университетов, как центров инноваций, научных исследований и передачи современных методик в области диагностики и лечения. Медицинские университеты страны должны проходить международные аккредитации. Важным шагом также является создание университетских больниц и клиник при медицинских вузах и их развитие. С целью удержания лучшего профессорско- преподавательского состава в вузах, научно-исследовательских институтах (далее - НИИ) и научных центрах будет обеспечено повышение их заработной платы.</w:t>
      </w:r>
    </w:p>
    <w:bookmarkEnd w:id="79"/>
    <w:bookmarkStart w:name="z111" w:id="80"/>
    <w:p>
      <w:pPr>
        <w:spacing w:after="0"/>
        <w:ind w:left="0"/>
        <w:jc w:val="both"/>
      </w:pPr>
      <w:r>
        <w:rPr>
          <w:rFonts w:ascii="Times New Roman"/>
          <w:b w:val="false"/>
          <w:i w:val="false"/>
          <w:color w:val="000000"/>
          <w:sz w:val="28"/>
        </w:rPr>
        <w:t xml:space="preserve">
      </w:t>
      </w:r>
      <w:r>
        <w:rPr>
          <w:rFonts w:ascii="Times New Roman"/>
          <w:b/>
          <w:i w:val="false"/>
          <w:color w:val="000000"/>
          <w:sz w:val="28"/>
        </w:rPr>
        <w:t>Цифровизации процессов</w:t>
      </w:r>
      <w:r>
        <w:rPr>
          <w:rFonts w:ascii="Times New Roman"/>
          <w:b w:val="false"/>
          <w:i w:val="false"/>
          <w:color w:val="000000"/>
          <w:sz w:val="28"/>
        </w:rPr>
        <w:t>. Качественная интеграция информационных систем в сфере здравоохранения и формирование национального электронного паспорта здоровья граждан в целях консолидации полученной из разных источников медицинской информации, а также применение в первичной медико- санитарной помощи (далее - ПМСП) программ искусственного интеллекта (далее - ИИ) обеспечат простоту работы с историей пациентов, повышение качества и скорости оказания медицинских услуг. В целях снижения нагрузки на объекты системы здравоохранения будет расширяться охват дистанционными медицинскими услугами.</w:t>
      </w:r>
    </w:p>
    <w:bookmarkEnd w:id="80"/>
    <w:bookmarkStart w:name="z112" w:id="81"/>
    <w:p>
      <w:pPr>
        <w:spacing w:after="0"/>
        <w:ind w:left="0"/>
        <w:jc w:val="both"/>
      </w:pPr>
      <w:r>
        <w:rPr>
          <w:rFonts w:ascii="Times New Roman"/>
          <w:b w:val="false"/>
          <w:i w:val="false"/>
          <w:color w:val="000000"/>
          <w:sz w:val="28"/>
        </w:rPr>
        <w:t>
      В рамках цифровой трансформации предлагается реализовать переход на новую верхнеуровневую архитектуру электронного здравоохранения "e-Densaulyq", которая обеспечит полноценный обмен данными между организациями здравоохранения посредством интеграции с медицинскими информационными системами.</w:t>
      </w:r>
    </w:p>
    <w:bookmarkEnd w:id="81"/>
    <w:bookmarkStart w:name="z113" w:id="8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Повышение доступности медицинских услуг</w:t>
      </w:r>
    </w:p>
    <w:bookmarkEnd w:id="82"/>
    <w:bookmarkStart w:name="z114" w:id="83"/>
    <w:p>
      <w:pPr>
        <w:spacing w:after="0"/>
        <w:ind w:left="0"/>
        <w:jc w:val="both"/>
      </w:pPr>
      <w:r>
        <w:rPr>
          <w:rFonts w:ascii="Times New Roman"/>
          <w:b w:val="false"/>
          <w:i w:val="false"/>
          <w:color w:val="000000"/>
          <w:sz w:val="28"/>
        </w:rPr>
        <w:t>
      Работа в данном направлении будет включать повышение доступности медицинских услуг и увеличение охвата сельского населения объектами ПМСП, а также строительство и модернизацию медицинской инфраструктуры.</w:t>
      </w:r>
    </w:p>
    <w:bookmarkEnd w:id="83"/>
    <w:bookmarkStart w:name="z115" w:id="84"/>
    <w:p>
      <w:pPr>
        <w:spacing w:after="0"/>
        <w:ind w:left="0"/>
        <w:jc w:val="both"/>
      </w:pPr>
      <w:r>
        <w:rPr>
          <w:rFonts w:ascii="Times New Roman"/>
          <w:b w:val="false"/>
          <w:i w:val="false"/>
          <w:color w:val="000000"/>
          <w:sz w:val="28"/>
        </w:rPr>
        <w:t xml:space="preserve">
      </w:t>
      </w:r>
      <w:r>
        <w:rPr>
          <w:rFonts w:ascii="Times New Roman"/>
          <w:b/>
          <w:i w:val="false"/>
          <w:color w:val="000000"/>
          <w:sz w:val="28"/>
        </w:rPr>
        <w:t>Снижение дефицита медицинских работников</w:t>
      </w:r>
      <w:r>
        <w:rPr>
          <w:rFonts w:ascii="Times New Roman"/>
          <w:b w:val="false"/>
          <w:i w:val="false"/>
          <w:color w:val="000000"/>
          <w:sz w:val="28"/>
        </w:rPr>
        <w:t>. В целях обеспечения медицинскими кадрами предусмотрены разработка и внедрение подходов по эффективному прогнозированию потребности в кадровых ресурсах и их обеспечению, а также разработка национальной системы учета кадровых ресурсов здравоохранения. Для привлечения медицинских работников в села будут применяться финансовые и нефинансовые стимулы: программы обязательной отработки для выпускников медицинских институтов, увеличение количества грантов на обучение с условием длительной отработки, повышение финансовой привлекательности и другие.</w:t>
      </w:r>
    </w:p>
    <w:bookmarkEnd w:id="84"/>
    <w:bookmarkStart w:name="z116" w:id="85"/>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равного доступа к качественной медицинской помощи</w:t>
      </w:r>
      <w:r>
        <w:rPr>
          <w:rFonts w:ascii="Times New Roman"/>
          <w:b w:val="false"/>
          <w:i w:val="false"/>
          <w:color w:val="000000"/>
          <w:sz w:val="28"/>
        </w:rPr>
        <w:t>. Для сокращения дисбаланса между городским и сельским здравоохранением в соответствии с нормативами сети здравоохранения в сельских населенных пунктах будут построены объекты ПМСП, оснащенные современным оборудованием. Доступ к высокотехнологичному оборудованию диагностики и медицинским услугам планируется обеспечить через модернизацию многопрофильных центральных районных больниц.</w:t>
      </w:r>
    </w:p>
    <w:bookmarkEnd w:id="85"/>
    <w:bookmarkStart w:name="z117" w:id="86"/>
    <w:p>
      <w:pPr>
        <w:spacing w:after="0"/>
        <w:ind w:left="0"/>
        <w:jc w:val="both"/>
      </w:pPr>
      <w:r>
        <w:rPr>
          <w:rFonts w:ascii="Times New Roman"/>
          <w:b w:val="false"/>
          <w:i w:val="false"/>
          <w:color w:val="000000"/>
          <w:sz w:val="28"/>
        </w:rPr>
        <w:t>
      Население отдаленной и труднодоступной сельской местности будет охвачено качественными медицинскими услугами и обеспечено лекарственными средствами через услуги медицинской авиации, передвижных медицинских комплексов и аптечных пунктов.</w:t>
      </w:r>
    </w:p>
    <w:bookmarkEnd w:id="86"/>
    <w:bookmarkStart w:name="z118" w:id="87"/>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Строительство и модернизация медицинской инфраструктуры</w:t>
      </w:r>
      <w:r>
        <w:rPr>
          <w:rFonts w:ascii="Times New Roman"/>
          <w:b w:val="false"/>
          <w:i w:val="false"/>
          <w:color w:val="000000"/>
          <w:sz w:val="28"/>
        </w:rPr>
        <w:t>. Необходимо создание эффективной системы планирования, мониторинга и контроля за объектами инфраструктуры здравоохранения. В частности, будут приняты меры по снижению степени износа объектов инфраструктуры, медицинского оборудования, повышению уровня оснащенности медицинским и лабораторным оборудованием медицинских объектов, в том числе посредством вовлечения бизнеса в реализацию инвестиционных проектов, включая механизм государственно-частного партнерства (далее - ГЧП).</w:t>
      </w:r>
    </w:p>
    <w:bookmarkEnd w:id="87"/>
    <w:p>
      <w:pPr>
        <w:spacing w:after="0"/>
        <w:ind w:left="0"/>
        <w:jc w:val="both"/>
      </w:pPr>
      <w:r>
        <w:rPr>
          <w:rFonts w:ascii="Times New Roman"/>
          <w:b/>
          <w:i w:val="false"/>
          <w:color w:val="000000"/>
          <w:sz w:val="28"/>
        </w:rPr>
        <w:t>1.2. ОБРАЗОВАНИЕ И НАУКА</w:t>
      </w:r>
    </w:p>
    <w:bookmarkStart w:name="z120" w:id="8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88"/>
    <w:bookmarkStart w:name="z121" w:id="89"/>
    <w:p>
      <w:pPr>
        <w:spacing w:after="0"/>
        <w:ind w:left="0"/>
        <w:jc w:val="both"/>
      </w:pPr>
      <w:r>
        <w:rPr>
          <w:rFonts w:ascii="Times New Roman"/>
          <w:b w:val="false"/>
          <w:i w:val="false"/>
          <w:color w:val="000000"/>
          <w:sz w:val="28"/>
        </w:rPr>
        <w:t>
      Доступность и качество системы образования предопределяют качество человеческого капитала в стране, уровень производительности труда и конкурентоспособности специалистов. При этом одним из ключевых факторов, влияющих на эффективность образования, является его соответствие меняющимся требованиям рынка труда.</w:t>
      </w:r>
    </w:p>
    <w:bookmarkEnd w:id="89"/>
    <w:bookmarkStart w:name="z122" w:id="90"/>
    <w:p>
      <w:pPr>
        <w:spacing w:after="0"/>
        <w:ind w:left="0"/>
        <w:jc w:val="both"/>
      </w:pPr>
      <w:r>
        <w:rPr>
          <w:rFonts w:ascii="Times New Roman"/>
          <w:b w:val="false"/>
          <w:i w:val="false"/>
          <w:color w:val="000000"/>
          <w:sz w:val="28"/>
        </w:rPr>
        <w:t>
      В Казахстане наблюдается слабая связь системы образования с рынком труда. Решение данной задачи требует комплексного подхода, начиная с раннего образования. Качественное дошкольное воспитание и обучение могут сократить разрыв в успеваемости между школьниками и дать детям больше возможностей для будущей занятости и получения более высокого дохода. Организация качественного среднего образования наряду с профессионально-техническими и высшими учебными заведениями способствуют профессиональному успеху человека, обеспечивая его необходимыми фундаментальными знаниями и навыками для соответствия условиям рынка труда и экономики.</w:t>
      </w:r>
    </w:p>
    <w:bookmarkEnd w:id="90"/>
    <w:bookmarkStart w:name="z123" w:id="91"/>
    <w:p>
      <w:pPr>
        <w:spacing w:after="0"/>
        <w:ind w:left="0"/>
        <w:jc w:val="both"/>
      </w:pPr>
      <w:r>
        <w:rPr>
          <w:rFonts w:ascii="Times New Roman"/>
          <w:b w:val="false"/>
          <w:i w:val="false"/>
          <w:color w:val="000000"/>
          <w:sz w:val="28"/>
        </w:rPr>
        <w:t>
      Развитие науки в стране также имеет ключевое значение, поскольку наука является основой для технологических инноваций, которые способствуют экономическому росту, создают новые рабочие места и улучшают качество жизни граждан.</w:t>
      </w:r>
    </w:p>
    <w:bookmarkEnd w:id="91"/>
    <w:bookmarkStart w:name="z124" w:id="92"/>
    <w:p>
      <w:pPr>
        <w:spacing w:after="0"/>
        <w:ind w:left="0"/>
        <w:jc w:val="both"/>
      </w:pPr>
      <w:r>
        <w:rPr>
          <w:rFonts w:ascii="Times New Roman"/>
          <w:b w:val="false"/>
          <w:i w:val="false"/>
          <w:color w:val="000000"/>
          <w:sz w:val="28"/>
        </w:rPr>
        <w:t xml:space="preserve">
      </w:t>
      </w:r>
      <w:r>
        <w:rPr>
          <w:rFonts w:ascii="Times New Roman"/>
          <w:b/>
          <w:i w:val="false"/>
          <w:color w:val="000000"/>
          <w:sz w:val="28"/>
        </w:rPr>
        <w:t>Дошкольное образование:</w:t>
      </w:r>
      <w:r>
        <w:rPr>
          <w:rFonts w:ascii="Times New Roman"/>
          <w:b w:val="false"/>
          <w:i w:val="false"/>
          <w:color w:val="000000"/>
          <w:sz w:val="28"/>
        </w:rPr>
        <w:t xml:space="preserve"> </w:t>
      </w:r>
      <w:r>
        <w:rPr>
          <w:rFonts w:ascii="Times New Roman"/>
          <w:b/>
          <w:i w:val="false"/>
          <w:color w:val="000000"/>
          <w:sz w:val="28"/>
        </w:rPr>
        <w:t>высокая</w:t>
      </w:r>
      <w:r>
        <w:rPr>
          <w:rFonts w:ascii="Times New Roman"/>
          <w:b w:val="false"/>
          <w:i w:val="false"/>
          <w:color w:val="000000"/>
          <w:sz w:val="28"/>
        </w:rPr>
        <w:t xml:space="preserve"> </w:t>
      </w:r>
      <w:r>
        <w:rPr>
          <w:rFonts w:ascii="Times New Roman"/>
          <w:b/>
          <w:i w:val="false"/>
          <w:color w:val="000000"/>
          <w:sz w:val="28"/>
        </w:rPr>
        <w:t>нагрузка на систему</w:t>
      </w:r>
      <w:r>
        <w:rPr>
          <w:rFonts w:ascii="Times New Roman"/>
          <w:b w:val="false"/>
          <w:i w:val="false"/>
          <w:color w:val="000000"/>
          <w:sz w:val="28"/>
        </w:rPr>
        <w:t xml:space="preserve"> </w:t>
      </w:r>
      <w:r>
        <w:rPr>
          <w:rFonts w:ascii="Times New Roman"/>
          <w:b/>
          <w:i w:val="false"/>
          <w:color w:val="000000"/>
          <w:sz w:val="28"/>
        </w:rPr>
        <w:t>и сложность контроля качества</w:t>
      </w:r>
    </w:p>
    <w:bookmarkEnd w:id="92"/>
    <w:bookmarkStart w:name="z125" w:id="93"/>
    <w:p>
      <w:pPr>
        <w:spacing w:after="0"/>
        <w:ind w:left="0"/>
        <w:jc w:val="both"/>
      </w:pPr>
      <w:r>
        <w:rPr>
          <w:rFonts w:ascii="Times New Roman"/>
          <w:b w:val="false"/>
          <w:i w:val="false"/>
          <w:color w:val="000000"/>
          <w:sz w:val="28"/>
        </w:rPr>
        <w:t>
      Наблюдаются положительные изменения в повышении доступности дошкольного воспитания и обучения: с 2017 года количество дошкольных организаций увеличилось на 1,5 тыс. ед. (на 15,4%), создано более 247 тыс. новых мест. В 2023 году охват детей в возрасте 2-6 лет составил 90,6% (с учетом количества детей, зарегистрированных в очереди). При этом доля детей, посещающих дошкольные организации, относительно общего числа детей в возрастной категории 2-5 лет в Казахстане все еще остается ниже показателя стран ОЭСР</w:t>
      </w:r>
      <w:r>
        <w:rPr>
          <w:rFonts w:ascii="Times New Roman"/>
          <w:b w:val="false"/>
          <w:i w:val="false"/>
          <w:color w:val="000000"/>
          <w:vertAlign w:val="superscript"/>
        </w:rPr>
        <w:t>1</w:t>
      </w:r>
      <w:r>
        <w:rPr>
          <w:rFonts w:ascii="Times New Roman"/>
          <w:b w:val="false"/>
          <w:i w:val="false"/>
          <w:color w:val="000000"/>
          <w:sz w:val="28"/>
        </w:rPr>
        <w:t xml:space="preserve"> (65% и 77% соответственно). Более того, в связи с ожидаемым ростом рождаемости прогнозируется дальнейшее увеличение очередности детей на зачисление в дошкольные организации.</w:t>
      </w:r>
    </w:p>
    <w:bookmarkEnd w:id="93"/>
    <w:bookmarkStart w:name="z126" w:id="94"/>
    <w:p>
      <w:pPr>
        <w:spacing w:after="0"/>
        <w:ind w:left="0"/>
        <w:jc w:val="both"/>
      </w:pPr>
      <w:r>
        <w:rPr>
          <w:rFonts w:ascii="Times New Roman"/>
          <w:b w:val="false"/>
          <w:i w:val="false"/>
          <w:color w:val="000000"/>
          <w:sz w:val="28"/>
        </w:rPr>
        <w:t>
      Высокая нагрузка на систему образования выражается и в значительной нагрузке на педагогов дошкольных организаций в Казахстане по сравнению со странами ОЭСР (25 и 15 детей на педагога соответственно). Данная ситуация наряду с другими факторами негативно влияет на качество воспитания и обучения. Значительные трудности по обеспечению качества возникают в частных садах из-за ограничений в контроле качества образовательных услуг.</w:t>
      </w:r>
    </w:p>
    <w:bookmarkEnd w:id="94"/>
    <w:bookmarkStart w:name="z127" w:id="95"/>
    <w:p>
      <w:pPr>
        <w:spacing w:after="0"/>
        <w:ind w:left="0"/>
        <w:jc w:val="both"/>
      </w:pPr>
      <w:r>
        <w:rPr>
          <w:rFonts w:ascii="Times New Roman"/>
          <w:b w:val="false"/>
          <w:i w:val="false"/>
          <w:color w:val="000000"/>
          <w:sz w:val="28"/>
        </w:rPr>
        <w:t xml:space="preserve">
      </w:t>
      </w:r>
      <w:r>
        <w:rPr>
          <w:rFonts w:ascii="Times New Roman"/>
          <w:b/>
          <w:i w:val="false"/>
          <w:color w:val="000000"/>
          <w:sz w:val="28"/>
        </w:rPr>
        <w:t>Среднее образование: недостаточная эффективность и качество обучения</w:t>
      </w:r>
    </w:p>
    <w:bookmarkEnd w:id="95"/>
    <w:bookmarkStart w:name="z128" w:id="96"/>
    <w:p>
      <w:pPr>
        <w:spacing w:after="0"/>
        <w:ind w:left="0"/>
        <w:jc w:val="both"/>
      </w:pPr>
      <w:r>
        <w:rPr>
          <w:rFonts w:ascii="Times New Roman"/>
          <w:b w:val="false"/>
          <w:i w:val="false"/>
          <w:color w:val="000000"/>
          <w:sz w:val="28"/>
        </w:rPr>
        <w:t>
      Обеспечен высокий охват детей и подростков средним образованием, однако актуальными остаются вопросы его качества: по результатам исследования PISA-2022, по показателям математической, естественно-научной и читательской грамотности среди подростков Казахстан уступает странам ОЭСР, занимая 46, 49 и 61 места соответственно в рейтинге из 81 страны. Отдельно стоит отметить, что результаты школьников в сельской местности значительно ниже, чем в городах. При этом, согласно результатам PISA-2022, в Казахстане в большей степени наблюдаются различия между обучающимися внутри школ, чем между школами (55% и 21% соответственно).</w:t>
      </w:r>
    </w:p>
    <w:bookmarkEnd w:id="96"/>
    <w:bookmarkStart w:name="z129" w:id="97"/>
    <w:p>
      <w:pPr>
        <w:spacing w:after="0"/>
        <w:ind w:left="0"/>
        <w:jc w:val="both"/>
      </w:pPr>
      <w:r>
        <w:rPr>
          <w:rFonts w:ascii="Times New Roman"/>
          <w:b w:val="false"/>
          <w:i w:val="false"/>
          <w:color w:val="000000"/>
          <w:sz w:val="28"/>
        </w:rPr>
        <w:t>
      Адаптация новых методик обучения в более чем 7 тыс. школ по всей стране зачастую сдерживается состоянием инфраструктуры, дефицитом и недостаточной квалификацией педагогов и менеджмента школ. Около 5% контингента организаций среднего образования (187 тыс. детей) обучаются в 2 699 малокомплектных школах, для которых характерны низкая численность обучающихся, слабая материально-техническая база и дефицит высококвалифицированных педагогов.</w:t>
      </w:r>
    </w:p>
    <w:bookmarkEnd w:id="97"/>
    <w:bookmarkStart w:name="z130" w:id="98"/>
    <w:p>
      <w:pPr>
        <w:spacing w:after="0"/>
        <w:ind w:left="0"/>
        <w:jc w:val="both"/>
      </w:pPr>
      <w:r>
        <w:rPr>
          <w:rFonts w:ascii="Times New Roman"/>
          <w:b w:val="false"/>
          <w:i w:val="false"/>
          <w:color w:val="000000"/>
          <w:sz w:val="28"/>
        </w:rPr>
        <w:t>
      Остро стоит проблема дефицита и качества кадров в среднем образовании: за последние 5 лет по педагогическим специальностям подготовлено свыше 200 тыс. человек, при этом по специальности трудоустроены лишь 32,2% выпускников. Вместе с тем ежегодно более 50% педагогов не набирают пороговый балл при прохождении национального квалификационного тестирования.</w:t>
      </w:r>
    </w:p>
    <w:bookmarkEnd w:id="98"/>
    <w:bookmarkStart w:name="z131"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w:t>
      </w:r>
      <w:r>
        <w:rPr>
          <w:rFonts w:ascii="Times New Roman"/>
          <w:b/>
          <w:i w:val="false"/>
          <w:color w:val="000000"/>
          <w:sz w:val="28"/>
        </w:rPr>
        <w:t xml:space="preserve">и профессиональное образование: </w:t>
      </w:r>
      <w:r>
        <w:rPr>
          <w:rFonts w:ascii="Times New Roman"/>
          <w:b/>
          <w:i w:val="false"/>
          <w:color w:val="000000"/>
          <w:sz w:val="28"/>
        </w:rPr>
        <w:t>слабая связь</w:t>
      </w:r>
      <w:r>
        <w:rPr>
          <w:rFonts w:ascii="Times New Roman"/>
          <w:b w:val="false"/>
          <w:i w:val="false"/>
          <w:color w:val="000000"/>
          <w:sz w:val="28"/>
        </w:rPr>
        <w:t xml:space="preserve"> </w:t>
      </w:r>
      <w:r>
        <w:rPr>
          <w:rFonts w:ascii="Times New Roman"/>
          <w:b/>
          <w:i w:val="false"/>
          <w:color w:val="000000"/>
          <w:sz w:val="28"/>
        </w:rPr>
        <w:t>с рынком труда при росте числа учащихся</w:t>
      </w:r>
    </w:p>
    <w:bookmarkEnd w:id="99"/>
    <w:bookmarkStart w:name="z132" w:id="100"/>
    <w:p>
      <w:pPr>
        <w:spacing w:after="0"/>
        <w:ind w:left="0"/>
        <w:jc w:val="both"/>
      </w:pPr>
      <w:r>
        <w:rPr>
          <w:rFonts w:ascii="Times New Roman"/>
          <w:b w:val="false"/>
          <w:i w:val="false"/>
          <w:color w:val="000000"/>
          <w:sz w:val="28"/>
        </w:rPr>
        <w:t>
      За период с 2017 по 2023 год количество учащихся в организациях технического и профессионального образования (далее - ТиПО) выросло на 10,7% на фоне роста численности молодежи и внедрения государственных программ поддержки. Однако доля поступающих в ТиПО от всего количества выпускников после 9 класса все еще ниже среднего значения по странам ОЭСР (39% и 70% соответственно). В целях повышения охвата требуется уделить особое внимание качеству образования в организациях ТиПО.</w:t>
      </w:r>
    </w:p>
    <w:bookmarkEnd w:id="100"/>
    <w:p>
      <w:pPr>
        <w:spacing w:after="0"/>
        <w:ind w:left="0"/>
        <w:jc w:val="both"/>
      </w:pPr>
      <w:bookmarkStart w:name="z133" w:id="101"/>
      <w:r>
        <w:rPr>
          <w:rFonts w:ascii="Times New Roman"/>
          <w:b w:val="false"/>
          <w:i w:val="false"/>
          <w:color w:val="000000"/>
          <w:sz w:val="28"/>
        </w:rPr>
        <w:t>
      __________________________</w:t>
      </w:r>
    </w:p>
    <w:bookmarkEnd w:id="10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 методологии ОЭСР охват дошкольным образованием рассчитывается как отношение числа учеников учебных заведений (как на полный день, так и посещения на часть дня) определенной возрастной категории к общему числу детей этой возрастной 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Для этого необходимо преодолеть несколько вызовов, в первую очередь связанных с финансированием и запросами рынка труда. Так, например, из средств, полученных в рамках введенного с 2020 года механизма подушевого финансирования, 85% расходуются на содержание зданий и зарплаты педагогов и лишь 15% направляются на материалы для организации практики студентов.</w:t>
      </w:r>
    </w:p>
    <w:bookmarkEnd w:id="102"/>
    <w:bookmarkStart w:name="z135" w:id="103"/>
    <w:p>
      <w:pPr>
        <w:spacing w:after="0"/>
        <w:ind w:left="0"/>
        <w:jc w:val="both"/>
      </w:pPr>
      <w:r>
        <w:rPr>
          <w:rFonts w:ascii="Times New Roman"/>
          <w:b w:val="false"/>
          <w:i w:val="false"/>
          <w:color w:val="000000"/>
          <w:sz w:val="28"/>
        </w:rPr>
        <w:t>
      Остаются пробелы и в организации обучения, в том числе повышении уровня функциональной грамотности: средние результаты студентов ТиПО по PISA оказались ниже, чем у их сверстников из школ. Наряду с этим в ТиПО наблюдается дефицит педагогов-практиков. Они составляют лишь около 25,8% от общего числа преподавателей.</w:t>
      </w:r>
    </w:p>
    <w:bookmarkEnd w:id="103"/>
    <w:bookmarkStart w:name="z136" w:id="104"/>
    <w:p>
      <w:pPr>
        <w:spacing w:after="0"/>
        <w:ind w:left="0"/>
        <w:jc w:val="both"/>
      </w:pPr>
      <w:r>
        <w:rPr>
          <w:rFonts w:ascii="Times New Roman"/>
          <w:b w:val="false"/>
          <w:i w:val="false"/>
          <w:color w:val="000000"/>
          <w:sz w:val="28"/>
        </w:rPr>
        <w:t>
      В результате доля трудоустроенных выпускников ТиПО в 2022 году в Казахстане составляла ниже среднего значения по странам ОЭСР (67%2 и 80% соответственно), а работодатели оценивают уровень качества ТиПО в Казахстане на 3,7 балла из 7</w:t>
      </w:r>
      <w:r>
        <w:rPr>
          <w:rFonts w:ascii="Times New Roman"/>
          <w:b w:val="false"/>
          <w:i w:val="false"/>
          <w:color w:val="000000"/>
          <w:vertAlign w:val="superscript"/>
        </w:rPr>
        <w:t>3</w:t>
      </w:r>
      <w:r>
        <w:rPr>
          <w:rFonts w:ascii="Times New Roman"/>
          <w:b w:val="false"/>
          <w:i w:val="false"/>
          <w:color w:val="000000"/>
          <w:sz w:val="28"/>
        </w:rPr>
        <w:t>, что может косвенно свидетельствовать о неудовлетворенности рынка качеством подготовки кадров. Среди причин низкого качества подготовки отмечаются устаревшая материально-техническая база (в 38% ТиПО), а также слабая связь организаций ТиПО с реальным сектором экономики, бизнесом и сферой услуг.</w:t>
      </w:r>
    </w:p>
    <w:bookmarkEnd w:id="104"/>
    <w:bookmarkStart w:name="z137" w:id="105"/>
    <w:p>
      <w:pPr>
        <w:spacing w:after="0"/>
        <w:ind w:left="0"/>
        <w:jc w:val="both"/>
      </w:pPr>
      <w:r>
        <w:rPr>
          <w:rFonts w:ascii="Times New Roman"/>
          <w:b w:val="false"/>
          <w:i w:val="false"/>
          <w:color w:val="000000"/>
          <w:sz w:val="28"/>
        </w:rPr>
        <w:t xml:space="preserve">
      </w:t>
      </w:r>
      <w:r>
        <w:rPr>
          <w:rFonts w:ascii="Times New Roman"/>
          <w:b/>
          <w:i w:val="false"/>
          <w:color w:val="000000"/>
          <w:sz w:val="28"/>
        </w:rPr>
        <w:t>Высшее образование: недостаточная готовность к современным вызовам</w:t>
      </w:r>
    </w:p>
    <w:bookmarkEnd w:id="105"/>
    <w:bookmarkStart w:name="z138" w:id="106"/>
    <w:p>
      <w:pPr>
        <w:spacing w:after="0"/>
        <w:ind w:left="0"/>
        <w:jc w:val="both"/>
      </w:pPr>
      <w:r>
        <w:rPr>
          <w:rFonts w:ascii="Times New Roman"/>
          <w:b w:val="false"/>
          <w:i w:val="false"/>
          <w:color w:val="000000"/>
          <w:sz w:val="28"/>
        </w:rPr>
        <w:t>
      В предстоящие годы система высшего и послевузовского образования Казахстана будет испытывать растущую демографическую нагрузку. К 2029 году ожидается двукратный рост количества выпускников школ, что обострит проблемы нехватки квалифицированного профессорско- преподавательского состава, современной инфраструктуры и лабораторной базы вузов, дефицита мест в университетах и общежитиях.</w:t>
      </w:r>
    </w:p>
    <w:bookmarkEnd w:id="106"/>
    <w:bookmarkStart w:name="z139" w:id="107"/>
    <w:p>
      <w:pPr>
        <w:spacing w:after="0"/>
        <w:ind w:left="0"/>
        <w:jc w:val="both"/>
      </w:pPr>
      <w:r>
        <w:rPr>
          <w:rFonts w:ascii="Times New Roman"/>
          <w:b w:val="false"/>
          <w:i w:val="false"/>
          <w:color w:val="000000"/>
          <w:sz w:val="28"/>
        </w:rPr>
        <w:t>
      Изменение парадигмы мышления и отношения молодежи к высшему образованию, "уроки" пандемии вызывают необходимость переосмысления форматов, длительности и процессов обучения. Кроме того, серьезные коррективы в процесс и методы обучения вносит ускоренное развитие цифровых технологий и ИИ. Актуальными остаются проблемы слабой синхронизации системы высшего образования с текущими потребностями рынка труда, вызовы в области финансирования высшего образования, а также нехватка профессорско-преподавательского состава в университетах.</w:t>
      </w:r>
    </w:p>
    <w:bookmarkEnd w:id="107"/>
    <w:bookmarkStart w:name="z140" w:id="108"/>
    <w:p>
      <w:pPr>
        <w:spacing w:after="0"/>
        <w:ind w:left="0"/>
        <w:jc w:val="both"/>
      </w:pPr>
      <w:r>
        <w:rPr>
          <w:rFonts w:ascii="Times New Roman"/>
          <w:b w:val="false"/>
          <w:i w:val="false"/>
          <w:color w:val="000000"/>
          <w:sz w:val="28"/>
        </w:rPr>
        <w:t xml:space="preserve">
      </w:t>
      </w:r>
      <w:r>
        <w:rPr>
          <w:rFonts w:ascii="Times New Roman"/>
          <w:b/>
          <w:i w:val="false"/>
          <w:color w:val="000000"/>
          <w:sz w:val="28"/>
        </w:rPr>
        <w:t>Наука: нераскрытый потенциал и недостаток стимулов ведения НИОКР</w:t>
      </w:r>
    </w:p>
    <w:bookmarkEnd w:id="108"/>
    <w:bookmarkStart w:name="z141" w:id="109"/>
    <w:p>
      <w:pPr>
        <w:spacing w:after="0"/>
        <w:ind w:left="0"/>
        <w:jc w:val="both"/>
      </w:pPr>
      <w:r>
        <w:rPr>
          <w:rFonts w:ascii="Times New Roman"/>
          <w:b w:val="false"/>
          <w:i w:val="false"/>
          <w:color w:val="000000"/>
          <w:sz w:val="28"/>
        </w:rPr>
        <w:t>
      Затраты на НИОКР в 2022 году составили 0,12% ВВП, что значительно ниже среднего значения в странах ОЭСР (2,7% ВВП). В рамках увеличения финансирования науки необходимо повышать объективность и независимость государственной научно-технической экспертизы, обеспечивать прозрачность распределения обязательных отчислений недропользователей на финансирование НИОКР в соответствии с приоритетами технологического развития страны.</w:t>
      </w:r>
    </w:p>
    <w:bookmarkEnd w:id="109"/>
    <w:p>
      <w:pPr>
        <w:spacing w:after="0"/>
        <w:ind w:left="0"/>
        <w:jc w:val="both"/>
      </w:pPr>
      <w:bookmarkStart w:name="z142" w:id="110"/>
      <w:r>
        <w:rPr>
          <w:rFonts w:ascii="Times New Roman"/>
          <w:b w:val="false"/>
          <w:i w:val="false"/>
          <w:color w:val="000000"/>
          <w:sz w:val="28"/>
        </w:rPr>
        <w:t>
      _____________________</w:t>
      </w:r>
    </w:p>
    <w:bookmarkEnd w:id="11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Концепция развития дошкольного, среднего, технического и профессионального образования РК на 2023 - 2029 годы (ПП РК от 28.03.2023 года № 249).</w:t>
      </w:r>
    </w:p>
    <w:bookmarkStart w:name="z143" w:id="1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Global Competitiveness Index 2019.</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12"/>
    <w:p>
      <w:pPr>
        <w:spacing w:after="0"/>
        <w:ind w:left="0"/>
        <w:jc w:val="both"/>
      </w:pPr>
      <w:r>
        <w:rPr>
          <w:rFonts w:ascii="Times New Roman"/>
          <w:b w:val="false"/>
          <w:i w:val="false"/>
          <w:color w:val="000000"/>
          <w:sz w:val="28"/>
        </w:rPr>
        <w:t>
      Доля предпринимательского сектора в общих затратах на НИОКР имеет тенденцию к снижению. Так, доля затрат на НИОКР в данном секторе снизилась с 41% в 2019 году до 26% в 2022 году. За последние 5 лет численность научных работников сохраняется на уровне 22,5 тыс. человек при продолжающемся старении кадров. Одним из главных сдерживающих факторов притока молодых научных кадров является низкий уровень оплаты труда ученых. В 2022 году затраты на основные средства составляли 9% от внутренних затрат на НИОКР. В некоторых научных организациях наблюдается дефицит необходимого современного оборудования.</w:t>
      </w:r>
    </w:p>
    <w:bookmarkEnd w:id="112"/>
    <w:bookmarkStart w:name="z145" w:id="1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отрасли до 2029 года</w:t>
      </w:r>
    </w:p>
    <w:bookmarkEnd w:id="113"/>
    <w:bookmarkStart w:name="z146" w:id="114"/>
    <w:p>
      <w:pPr>
        <w:spacing w:after="0"/>
        <w:ind w:left="0"/>
        <w:jc w:val="both"/>
      </w:pPr>
      <w:r>
        <w:rPr>
          <w:rFonts w:ascii="Times New Roman"/>
          <w:b w:val="false"/>
          <w:i w:val="false"/>
          <w:color w:val="000000"/>
          <w:sz w:val="28"/>
        </w:rPr>
        <w:t>
      Развитие отрасли до 2029 года будет направлено на повышение доступности дошкольного образования, качества среднего образования, совершенствование системы ТиПО для удовлетворения потребностей рынка труда, повышение уровня высшего образования до мировых стандартов и перезагрузку национальной модели науки. Будет создана качественная система образования, основанная на равном доступе к фундаментальным знаниям, цифровым технологиям и комфортной образовательной инфраструктуре.</w:t>
      </w:r>
    </w:p>
    <w:bookmarkEnd w:id="114"/>
    <w:bookmarkStart w:name="z147" w:id="11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доступности дошкольного воспитания и обучения с обеспечением комфортной, безопасной и качественной среды</w:t>
      </w:r>
    </w:p>
    <w:bookmarkEnd w:id="115"/>
    <w:bookmarkStart w:name="z148" w:id="116"/>
    <w:p>
      <w:pPr>
        <w:spacing w:after="0"/>
        <w:ind w:left="0"/>
        <w:jc w:val="both"/>
      </w:pPr>
      <w:r>
        <w:rPr>
          <w:rFonts w:ascii="Times New Roman"/>
          <w:b w:val="false"/>
          <w:i w:val="false"/>
          <w:color w:val="000000"/>
          <w:sz w:val="28"/>
        </w:rPr>
        <w:t>
      Основными задачами в рамках данного направления будут являться повышение охвата детей от 2 до 6 лет дошкольным образованием, увеличение количества мест в дошкольных организациях и улучшение качества дошкольного образования.</w:t>
      </w:r>
    </w:p>
    <w:bookmarkEnd w:id="116"/>
    <w:bookmarkStart w:name="z149" w:id="117"/>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количества мест в дошкольных организациях.</w:t>
      </w:r>
      <w:r>
        <w:rPr>
          <w:rFonts w:ascii="Times New Roman"/>
          <w:b w:val="false"/>
          <w:i w:val="false"/>
          <w:color w:val="000000"/>
          <w:sz w:val="28"/>
        </w:rPr>
        <w:t xml:space="preserve"> Для охвата детей дошкольным воспитанием и обучением планируется пересмотреть модель финансирования дошкольного воспитания и обучения, в том числе путем увеличения государственного образовательного заказа в частных дошкольных организациях. Для родителей, которые придерживаются принципов семейного воспитания и не стремятся отправлять детей в детский сад, будут увеличена сеть консультационных пунктов при дошкольных организациях, развита сеть детских клубов, академий, центров игровой поддержки детей, их ранней социализации.</w:t>
      </w:r>
    </w:p>
    <w:bookmarkEnd w:id="117"/>
    <w:bookmarkStart w:name="z150" w:id="118"/>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качества дошкольного воспитания и</w:t>
      </w:r>
      <w:r>
        <w:rPr>
          <w:rFonts w:ascii="Times New Roman"/>
          <w:b w:val="false"/>
          <w:i w:val="false"/>
          <w:color w:val="000000"/>
          <w:sz w:val="28"/>
        </w:rPr>
        <w:t xml:space="preserve"> </w:t>
      </w:r>
      <w:r>
        <w:rPr>
          <w:rFonts w:ascii="Times New Roman"/>
          <w:b/>
          <w:i w:val="false"/>
          <w:color w:val="000000"/>
          <w:sz w:val="28"/>
        </w:rPr>
        <w:t>обучения.</w:t>
      </w:r>
      <w:r>
        <w:rPr>
          <w:rFonts w:ascii="Times New Roman"/>
          <w:b w:val="false"/>
          <w:i w:val="false"/>
          <w:color w:val="000000"/>
          <w:sz w:val="28"/>
        </w:rPr>
        <w:t xml:space="preserve"> В указанных целях необходимо совершенствовать программы обучения, обеспечить квалифицированными педагогами, улучшить оснащение материально-технической базы, обеспечить методическим сопровождением, внедрить инновационные методики и технологии обучения, создать комфортную безопасную развивающую среду, а также внедрить независимую национальную оценку качества. Для усиления кадрового потенциала сферы дошкольного воспитания и обучения будет усовершенствована система подготовки, переподготовки, повышения квалификации и аттестации кадров, проведена системная работа по повышению социального статуса и заработной платы педагогов.</w:t>
      </w:r>
    </w:p>
    <w:bookmarkEnd w:id="118"/>
    <w:bookmarkStart w:name="z151" w:id="11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функциональной грамотности учащихся и инфраструктурной обеспеченности системы среднего образования</w:t>
      </w:r>
    </w:p>
    <w:bookmarkEnd w:id="119"/>
    <w:bookmarkStart w:name="z152" w:id="120"/>
    <w:p>
      <w:pPr>
        <w:spacing w:after="0"/>
        <w:ind w:left="0"/>
        <w:jc w:val="both"/>
      </w:pPr>
      <w:r>
        <w:rPr>
          <w:rFonts w:ascii="Times New Roman"/>
          <w:b w:val="false"/>
          <w:i w:val="false"/>
          <w:color w:val="000000"/>
          <w:sz w:val="28"/>
        </w:rPr>
        <w:t>
      Ключевым результатом в данном направлении станет повышение результатов оценки качества школьного образования по итогам исследования PISA.</w:t>
      </w:r>
    </w:p>
    <w:bookmarkEnd w:id="120"/>
    <w:bookmarkStart w:name="z153" w:id="121"/>
    <w:p>
      <w:pPr>
        <w:spacing w:after="0"/>
        <w:ind w:left="0"/>
        <w:jc w:val="both"/>
      </w:pPr>
      <w:r>
        <w:rPr>
          <w:rFonts w:ascii="Times New Roman"/>
          <w:b w:val="false"/>
          <w:i w:val="false"/>
          <w:color w:val="000000"/>
          <w:sz w:val="28"/>
        </w:rPr>
        <w:t>
      Основными задачами определены цикличный пересмотр содержания образования с учетом релевантных локальных и мировых трендов, повышение качества подготовки педагогического и управленческого состава, развитие инфраструктуры, сокращение разрыва казахстанских учащихся по результатам PISA между регионами, между городом и селом, мониторинг образовательных программ, а также внедрение дифференцированных подходов к развитию школ.</w:t>
      </w:r>
    </w:p>
    <w:bookmarkEnd w:id="121"/>
    <w:bookmarkStart w:name="z154" w:id="122"/>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количества педагогов и повышение качества их подготовки</w:t>
      </w:r>
      <w:r>
        <w:rPr>
          <w:rFonts w:ascii="Times New Roman"/>
          <w:b w:val="false"/>
          <w:i w:val="false"/>
          <w:color w:val="000000"/>
          <w:sz w:val="28"/>
        </w:rPr>
        <w:t>. Необходимо реализовать комплекс мер по всей цепочке развития педагогических кадров. В частности, планируется создать механизмы построения индивидуальной траектории профессионального развития компетентности учителя, усовершенствовать образовательные программы по подготовке педагогических кадров, а также осуществить переход от фрагментарного обучения к непрерывному профессиональному развитию педагогов. Будут совершенствоваться подходы к квалификационным тестированиям с фокусной поддержкой педагогов, не прошедших пороговый уровень.</w:t>
      </w:r>
    </w:p>
    <w:bookmarkEnd w:id="122"/>
    <w:bookmarkStart w:name="z155" w:id="12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квалификации и сертификация директоров школ.</w:t>
      </w:r>
      <w:r>
        <w:rPr>
          <w:rFonts w:ascii="Times New Roman"/>
          <w:b w:val="false"/>
          <w:i w:val="false"/>
          <w:color w:val="000000"/>
          <w:sz w:val="28"/>
        </w:rPr>
        <w:t xml:space="preserve"> В целях улучшения качества образования, внедрения передовых методик образования и новых методов управления будет внедрено непрерывное повышение квалификации директоров школ, основанное на передовых международных практиках. Поэтапно планируется развивать программу сертификации директоров школ, подразумевающую трехэтапную оценку, в том числе оценку их видения и планов по развитию образовательного учреждения. Кроме того, будет усилена программа формирования кадрового резерва директоров школ.</w:t>
      </w:r>
    </w:p>
    <w:bookmarkEnd w:id="123"/>
    <w:bookmarkStart w:name="z156" w:id="12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инфраструктурной обеспеченности школ</w:t>
      </w:r>
      <w:r>
        <w:rPr>
          <w:rFonts w:ascii="Times New Roman"/>
          <w:b w:val="false"/>
          <w:i w:val="false"/>
          <w:color w:val="000000"/>
          <w:sz w:val="28"/>
        </w:rPr>
        <w:t>. Одним из ключевых направлений развития останется устранение региональных дисбалансов в дефиците ученических мест, трехсменных и аварийных школ через комбинацию механизмов государственного финансирования и ГЧП, создание комфортных условий обучения. Все школы до 2027 года планируется обеспечить доступом к скоростному Интернету и необходимым набором интерактивного оборудования.</w:t>
      </w:r>
    </w:p>
    <w:bookmarkEnd w:id="124"/>
    <w:bookmarkStart w:name="z157" w:id="125"/>
    <w:p>
      <w:pPr>
        <w:spacing w:after="0"/>
        <w:ind w:left="0"/>
        <w:jc w:val="both"/>
      </w:pPr>
      <w:r>
        <w:rPr>
          <w:rFonts w:ascii="Times New Roman"/>
          <w:b w:val="false"/>
          <w:i w:val="false"/>
          <w:color w:val="000000"/>
          <w:sz w:val="28"/>
        </w:rPr>
        <w:t>
      Дополнительной задачей станет предоставление доступа к платформам с качественным цифровым интерактивным обучающим контентом и оцифрованными школьными процессами. Для популяризации науки в школах будут организовываться детские технопарки, тематические лаборатории.</w:t>
      </w:r>
    </w:p>
    <w:bookmarkEnd w:id="125"/>
    <w:bookmarkStart w:name="z158" w:id="12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программ обучения</w:t>
      </w:r>
      <w:r>
        <w:rPr>
          <w:rFonts w:ascii="Times New Roman"/>
          <w:b w:val="false"/>
          <w:i w:val="false"/>
          <w:color w:val="000000"/>
          <w:sz w:val="28"/>
        </w:rPr>
        <w:t>. В содержании учебных программ планируется реализовать принцип интеграции предметов, разделов, тем на основе STEAM-подходов с применением современных образовательных технологий и ресурсов. Повышение качества программ обучения будет обеспечиваться за счет внедрения системы мониторинга и оценки учебных программ по опыту передовых мировых образовательных систем. В целях повышения качества образования, особенно в сельской местности, на основе сетевого взаимодействия планируется использование возможностей нескольких организаций образования, расположенных на территории одного или нескольких близлежащих населенных пунктов, путем создания образовательного округа (комплекса) по принципу концентрации взаимозаменяемости ресурсов.</w:t>
      </w:r>
    </w:p>
    <w:bookmarkEnd w:id="126"/>
    <w:bookmarkStart w:name="z159" w:id="127"/>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дифференцированных подходов к развитию школ</w:t>
      </w:r>
      <w:r>
        <w:rPr>
          <w:rFonts w:ascii="Times New Roman"/>
          <w:b w:val="false"/>
          <w:i w:val="false"/>
          <w:color w:val="000000"/>
          <w:sz w:val="28"/>
        </w:rPr>
        <w:t>. Для улучшения качества образования, а также оптимизации использования ресурсов по итогам мониторинга образовательных достижений обучающихся в каждом регионе будут выявлены школы с низкими, средними и высокими результатами для принятия точечных и адресных мер поддержки. Для школ с низкими результатами предполагается предусмотреть комплексные, адресные меры поддержки, включающие обучение новым методикам и технологиям преподавания, получение знаний по вопросам психологии и возрастных особенностей детей.</w:t>
      </w:r>
    </w:p>
    <w:bookmarkEnd w:id="127"/>
    <w:bookmarkStart w:name="z160" w:id="128"/>
    <w:p>
      <w:pPr>
        <w:spacing w:after="0"/>
        <w:ind w:left="0"/>
        <w:jc w:val="both"/>
      </w:pPr>
      <w:r>
        <w:rPr>
          <w:rFonts w:ascii="Times New Roman"/>
          <w:b w:val="false"/>
          <w:i w:val="false"/>
          <w:color w:val="000000"/>
          <w:sz w:val="28"/>
        </w:rPr>
        <w:t>
      Важным дополнительным компонентом подхода станет утверждение программ развития школ, включающих меры по улучшению системы управления, вовлечению педагогов в руководство школой, установление ключевых показателей эффективности. Программы предусмотрят профессиональное обучение педагогов, модернизацию инфраструктуры, повышение качества преподавания.</w:t>
      </w:r>
    </w:p>
    <w:bookmarkEnd w:id="128"/>
    <w:bookmarkStart w:name="z161" w:id="12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дополнительного образования</w:t>
      </w:r>
      <w:r>
        <w:rPr>
          <w:rFonts w:ascii="Times New Roman"/>
          <w:b w:val="false"/>
          <w:i w:val="false"/>
          <w:color w:val="000000"/>
          <w:sz w:val="28"/>
        </w:rPr>
        <w:t>. Будет продолжена работа по расширению сети объектов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Расширится спектр доступных активностей, способствующих интеллектуальному развитию детей (например, летние школы на базе вузов).</w:t>
      </w:r>
    </w:p>
    <w:bookmarkEnd w:id="129"/>
    <w:bookmarkStart w:name="z162" w:id="13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Совершенствование системы ТиПО для удовлетворения потребностей рынка труда</w:t>
      </w:r>
    </w:p>
    <w:bookmarkEnd w:id="130"/>
    <w:bookmarkStart w:name="z163" w:id="131"/>
    <w:p>
      <w:pPr>
        <w:spacing w:after="0"/>
        <w:ind w:left="0"/>
        <w:jc w:val="both"/>
      </w:pPr>
      <w:r>
        <w:rPr>
          <w:rFonts w:ascii="Times New Roman"/>
          <w:b w:val="false"/>
          <w:i w:val="false"/>
          <w:color w:val="000000"/>
          <w:sz w:val="28"/>
        </w:rPr>
        <w:t>
      Работа в данном направлении будет способствовать обеспечению соответствия системы ТиПО требованиям рынка труда и повышению уровня трудоустройства выпускников в первый год после выпуска с ТиПО. Основными задачами станут совершенствование модели работы с работодателями, увеличение охвата студентов техническим и профессиональным образованием после 9 класса, повышение профессионального уровня педагогов и качества подготовки кадров в ТиПО.</w:t>
      </w:r>
    </w:p>
    <w:bookmarkEnd w:id="131"/>
    <w:bookmarkStart w:name="z164" w:id="132"/>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модели работы с работодателями по всей цепочке их вовлечения</w:t>
      </w:r>
      <w:r>
        <w:rPr>
          <w:rFonts w:ascii="Times New Roman"/>
          <w:b w:val="false"/>
          <w:i w:val="false"/>
          <w:color w:val="000000"/>
          <w:sz w:val="28"/>
        </w:rPr>
        <w:t>. В целях улучшения показателей системы ТиПО продолжится работа по системному вовлечению потенциальных работодателей на всех этапах программ обучения - от разработки программ обучения, определения их продолжительности и наиболее релевантных модулей до проведения практических занятий и оценки студентов.</w:t>
      </w:r>
    </w:p>
    <w:bookmarkEnd w:id="132"/>
    <w:bookmarkStart w:name="z165" w:id="133"/>
    <w:p>
      <w:pPr>
        <w:spacing w:after="0"/>
        <w:ind w:left="0"/>
        <w:jc w:val="both"/>
      </w:pPr>
      <w:r>
        <w:rPr>
          <w:rFonts w:ascii="Times New Roman"/>
          <w:b w:val="false"/>
          <w:i w:val="false"/>
          <w:color w:val="000000"/>
          <w:sz w:val="28"/>
        </w:rPr>
        <w:t>
      Предполагается последовательное расширение сотрудничества с приоритетным привлечением крупных и средних компаний со значительными потребностями в квалифицированных и сертифицированных сотрудниках. Для этого будут масштабироваться сертификация выпускников ТиПО независимыми органами, расширена практика размещения целевого государственного заказа по заявкам предприятий, а также разработаны привлекательные для бизнеса механизмы частного финансирования системы ТиПО.</w:t>
      </w:r>
    </w:p>
    <w:bookmarkEnd w:id="133"/>
    <w:bookmarkStart w:name="z166" w:id="13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профессионального уровня педагогов</w:t>
      </w:r>
      <w:r>
        <w:rPr>
          <w:rFonts w:ascii="Times New Roman"/>
          <w:b w:val="false"/>
          <w:i w:val="false"/>
          <w:color w:val="000000"/>
          <w:sz w:val="28"/>
        </w:rPr>
        <w:t>. Планируется усиление программ стажировки педагогов на базе передовых предприятий, продолжатся меры по увеличению доли специалистов, привлеченных с производства. Будет внедрена академическая мобильность преподавателей, проведена трансформация аттестации педагогов специальных дисциплин и мастеров производственного обучения.</w:t>
      </w:r>
    </w:p>
    <w:bookmarkEnd w:id="134"/>
    <w:bookmarkStart w:name="z167" w:id="135"/>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подготовки кадров в ТиПО</w:t>
      </w:r>
      <w:r>
        <w:rPr>
          <w:rFonts w:ascii="Times New Roman"/>
          <w:b w:val="false"/>
          <w:i w:val="false"/>
          <w:color w:val="000000"/>
          <w:sz w:val="28"/>
        </w:rPr>
        <w:t>. Продолжится работа по дальнейшему внедрению модульно-компетентностного подхода, позволяющего оперативно освоить востребованные навыки. Это позволит студентам выйти на рынок труда с необходимыми компетенциями в короткие сроки, а организациям ТиПО оптимизировать расходы. Особый фокус будет направлен на системное усиление программ обучения, в том числе в соответствии с рекомендациями и требованиями профессиональных стандартов, включая WorldSkills. Для обеспечения качества системы ТиПО предполагается проработать вопрос внедрения независимой оценки результатов обучения выпускников в центрах признания квалификаций.</w:t>
      </w:r>
    </w:p>
    <w:bookmarkEnd w:id="135"/>
    <w:bookmarkStart w:name="z168" w:id="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4. Повышение уровня</w:t>
      </w:r>
      <w:r>
        <w:rPr>
          <w:rFonts w:ascii="Times New Roman"/>
          <w:b w:val="false"/>
          <w:i w:val="false"/>
          <w:color w:val="000000"/>
          <w:sz w:val="28"/>
        </w:rPr>
        <w:t xml:space="preserve"> </w:t>
      </w:r>
      <w:r>
        <w:rPr>
          <w:rFonts w:ascii="Times New Roman"/>
          <w:b/>
          <w:i w:val="false"/>
          <w:color w:val="000000"/>
          <w:sz w:val="28"/>
        </w:rPr>
        <w:t>высшего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до мировых стандартов</w:t>
      </w:r>
    </w:p>
    <w:bookmarkEnd w:id="136"/>
    <w:bookmarkStart w:name="z169" w:id="137"/>
    <w:p>
      <w:pPr>
        <w:spacing w:after="0"/>
        <w:ind w:left="0"/>
        <w:jc w:val="both"/>
      </w:pPr>
      <w:r>
        <w:rPr>
          <w:rFonts w:ascii="Times New Roman"/>
          <w:b w:val="false"/>
          <w:i w:val="false"/>
          <w:color w:val="000000"/>
          <w:sz w:val="28"/>
        </w:rPr>
        <w:t>
      Основными задачами станут развитие партнерств с частными предприятиями, привлечение и развитие лучших преподавательских кадров, дальнейшая интернационализация высшего образования, а также расширение партнерств с зарубежными университетами.</w:t>
      </w:r>
    </w:p>
    <w:bookmarkEnd w:id="137"/>
    <w:bookmarkStart w:name="z170" w:id="138"/>
    <w:p>
      <w:pPr>
        <w:spacing w:after="0"/>
        <w:ind w:left="0"/>
        <w:jc w:val="both"/>
      </w:pPr>
      <w:r>
        <w:rPr>
          <w:rFonts w:ascii="Times New Roman"/>
          <w:b w:val="false"/>
          <w:i w:val="false"/>
          <w:color w:val="000000"/>
          <w:sz w:val="28"/>
        </w:rPr>
        <w:t xml:space="preserve">
      </w:t>
      </w:r>
      <w:r>
        <w:rPr>
          <w:rFonts w:ascii="Times New Roman"/>
          <w:b/>
          <w:i w:val="false"/>
          <w:color w:val="000000"/>
          <w:sz w:val="28"/>
        </w:rPr>
        <w:t>Адаптация системы высшего образования к современным вызовам</w:t>
      </w:r>
      <w:r>
        <w:rPr>
          <w:rFonts w:ascii="Times New Roman"/>
          <w:b w:val="false"/>
          <w:i w:val="false"/>
          <w:color w:val="000000"/>
          <w:sz w:val="28"/>
        </w:rPr>
        <w:t>. Технологический прогресс диктует необходимость адаптации системы высшего образования под новые реалии. Постепенное внедрение технологий ИИ в процесс обучения обеспечит переход к более индивидуализированной и эффективной модели образования, что улучшит качество обучения и готовность студентов к будущим профессиональным вызовам.</w:t>
      </w:r>
    </w:p>
    <w:bookmarkEnd w:id="138"/>
    <w:bookmarkStart w:name="z171" w:id="139"/>
    <w:p>
      <w:pPr>
        <w:spacing w:after="0"/>
        <w:ind w:left="0"/>
        <w:jc w:val="both"/>
      </w:pPr>
      <w:r>
        <w:rPr>
          <w:rFonts w:ascii="Times New Roman"/>
          <w:b w:val="false"/>
          <w:i w:val="false"/>
          <w:color w:val="000000"/>
          <w:sz w:val="28"/>
        </w:rPr>
        <w:t>
      Особое внимание будет уделяться созданию инклюзивных условий не только для обучающихся с ограниченными возможностями, обусловленными состоянием здоровья, но и связанными с социально-экономическим статусом, возрастом, языком обучения (иностранные студенты).</w:t>
      </w:r>
    </w:p>
    <w:bookmarkEnd w:id="139"/>
    <w:bookmarkStart w:name="z172" w:id="140"/>
    <w:p>
      <w:pPr>
        <w:spacing w:after="0"/>
        <w:ind w:left="0"/>
        <w:jc w:val="both"/>
      </w:pPr>
      <w:r>
        <w:rPr>
          <w:rFonts w:ascii="Times New Roman"/>
          <w:b w:val="false"/>
          <w:i w:val="false"/>
          <w:color w:val="000000"/>
          <w:sz w:val="28"/>
        </w:rPr>
        <w:t>
      Для обеспечения доступности образовательного процесса будут активно внедряться онлайн и смешанное обучение.</w:t>
      </w:r>
    </w:p>
    <w:bookmarkEnd w:id="140"/>
    <w:bookmarkStart w:name="z173" w:id="14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партнерств с частными предприятиями</w:t>
      </w:r>
      <w:r>
        <w:rPr>
          <w:rFonts w:ascii="Times New Roman"/>
          <w:b w:val="false"/>
          <w:i w:val="false"/>
          <w:color w:val="000000"/>
          <w:sz w:val="28"/>
        </w:rPr>
        <w:t>. Вовлечение ведущих предприятий в разработку программ и обучение студентов позволит повысить релевантность программ путем реализации практических проектов (capstone project), проведения стажировок, исследовательских работ, совместного отбора кадров, предоставления преподавателей частными предприятиями, а также реализации программ по наставничеству студентов со стороны представителей частных предприятий.</w:t>
      </w:r>
    </w:p>
    <w:bookmarkEnd w:id="141"/>
    <w:bookmarkStart w:name="z174" w:id="142"/>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финансовой устойчивости вузов</w:t>
      </w:r>
      <w:r>
        <w:rPr>
          <w:rFonts w:ascii="Times New Roman"/>
          <w:b w:val="false"/>
          <w:i w:val="false"/>
          <w:color w:val="000000"/>
          <w:sz w:val="28"/>
        </w:rPr>
        <w:t>. Финансовая устойчивость вузов будет базироваться на принципах солидарной ответственности граждан за обучение своих детей. В этих целях планируется внедрить новую Единую солидарную накопительную систему "Келешек", дифференцированные гранты, льготное кредитование обучения, продолжится реализация проекта "Нацфонд - детям".</w:t>
      </w:r>
    </w:p>
    <w:bookmarkEnd w:id="142"/>
    <w:bookmarkStart w:name="z175" w:id="14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высококвалифицированного преподавательского состава</w:t>
      </w:r>
      <w:r>
        <w:rPr>
          <w:rFonts w:ascii="Times New Roman"/>
          <w:b w:val="false"/>
          <w:i w:val="false"/>
          <w:color w:val="000000"/>
          <w:sz w:val="28"/>
        </w:rPr>
        <w:t>. Создание привлекательной среды, стимулирующей талантливых специалистов, будет осуществляться путем внедрения системы поощрений преподавателей, достигающих высоких результатов в обучении и исследованиях, усовершенствования критериев оценки качества преподавания, организации дискуссионных платформ.</w:t>
      </w:r>
    </w:p>
    <w:bookmarkEnd w:id="143"/>
    <w:bookmarkStart w:name="z176" w:id="144"/>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Расширение партнерств с зарубежными университетами и интернационализация высшего образования</w:t>
      </w:r>
      <w:r>
        <w:rPr>
          <w:rFonts w:ascii="Times New Roman"/>
          <w:b w:val="false"/>
          <w:i w:val="false"/>
          <w:color w:val="000000"/>
          <w:sz w:val="28"/>
        </w:rPr>
        <w:t>. Продолжится сотрудничество по модели "стратегическое партнерство", в рамках которого иностранный вуз предоставляет профессорско-преподавательский состав, внедряет свои методики обучения, обучает местных преподавателей, проводит исследования и обеспечивает развитие междисциплинарных, совместных и двудипломных образовательных программ с зарубежными партнерами.</w:t>
      </w:r>
    </w:p>
    <w:bookmarkEnd w:id="144"/>
    <w:bookmarkStart w:name="z177" w:id="145"/>
    <w:p>
      <w:pPr>
        <w:spacing w:after="0"/>
        <w:ind w:left="0"/>
        <w:jc w:val="both"/>
      </w:pPr>
      <w:r>
        <w:rPr>
          <w:rFonts w:ascii="Times New Roman"/>
          <w:b w:val="false"/>
          <w:i w:val="false"/>
          <w:color w:val="000000"/>
          <w:sz w:val="28"/>
        </w:rPr>
        <w:t>
      В рамках интернационализации особое внимание предполагается уделить повышению количества образовательных программ на английском языке, аккредитованных признанными органами, в том числе входящими в европейский реестр обеспечения качества в высшем образовании.</w:t>
      </w:r>
    </w:p>
    <w:bookmarkEnd w:id="145"/>
    <w:bookmarkStart w:name="z178" w:id="14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Перезагрузка национальной модели науки</w:t>
      </w:r>
    </w:p>
    <w:bookmarkEnd w:id="146"/>
    <w:bookmarkStart w:name="z179" w:id="147"/>
    <w:p>
      <w:pPr>
        <w:spacing w:after="0"/>
        <w:ind w:left="0"/>
        <w:jc w:val="both"/>
      </w:pPr>
      <w:r>
        <w:rPr>
          <w:rFonts w:ascii="Times New Roman"/>
          <w:b w:val="false"/>
          <w:i w:val="false"/>
          <w:color w:val="000000"/>
          <w:sz w:val="28"/>
        </w:rPr>
        <w:t>
      Работа в данном направлении будет ориентирована на повышение доли коммерциализируемых проектов, повышение качества администрирования науки, развитие университетской науки, а также рост количества исследователей.</w:t>
      </w:r>
    </w:p>
    <w:bookmarkEnd w:id="147"/>
    <w:bookmarkStart w:name="z180" w:id="148"/>
    <w:p>
      <w:pPr>
        <w:spacing w:after="0"/>
        <w:ind w:left="0"/>
        <w:jc w:val="both"/>
      </w:pPr>
      <w:r>
        <w:rPr>
          <w:rFonts w:ascii="Times New Roman"/>
          <w:b w:val="false"/>
          <w:i w:val="false"/>
          <w:color w:val="000000"/>
          <w:sz w:val="28"/>
        </w:rPr>
        <w:t xml:space="preserve">
      </w:t>
      </w:r>
      <w:r>
        <w:rPr>
          <w:rFonts w:ascii="Times New Roman"/>
          <w:b/>
          <w:i w:val="false"/>
          <w:color w:val="000000"/>
          <w:sz w:val="28"/>
        </w:rPr>
        <w:t>Вовлечение бизнеса в науку и повышение эффективности инвестиций</w:t>
      </w:r>
      <w:r>
        <w:rPr>
          <w:rFonts w:ascii="Times New Roman"/>
          <w:b w:val="false"/>
          <w:i w:val="false"/>
          <w:color w:val="000000"/>
          <w:sz w:val="28"/>
        </w:rPr>
        <w:t xml:space="preserve"> </w:t>
      </w:r>
      <w:r>
        <w:rPr>
          <w:rFonts w:ascii="Times New Roman"/>
          <w:b/>
          <w:i w:val="false"/>
          <w:color w:val="000000"/>
          <w:sz w:val="28"/>
        </w:rPr>
        <w:t>в НИОКР</w:t>
      </w:r>
      <w:r>
        <w:rPr>
          <w:rFonts w:ascii="Times New Roman"/>
          <w:b w:val="false"/>
          <w:i w:val="false"/>
          <w:color w:val="000000"/>
          <w:sz w:val="28"/>
        </w:rPr>
        <w:t>. Участие партнера из сферы производства или бизнеса будет включено в обязательные условия реализации научных и научно-технических программ в рамках программно-целевого финансирования. Для улучшения координации и повышения прозрачности использования обязательных затрат на НИОКР от недропользователей планируется ввести обязательное согласование направлений затрат между компаниями-недропользователями и профильными научно-техническими советами.</w:t>
      </w:r>
    </w:p>
    <w:bookmarkEnd w:id="148"/>
    <w:bookmarkStart w:name="z181" w:id="149"/>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администрирования науки</w:t>
      </w:r>
      <w:r>
        <w:rPr>
          <w:rFonts w:ascii="Times New Roman"/>
          <w:b w:val="false"/>
          <w:i w:val="false"/>
          <w:color w:val="000000"/>
          <w:sz w:val="28"/>
        </w:rPr>
        <w:t>. Совершенствованию системы управления наукой будет способствовать эффективное распределение стратегических, экспертных и административных функций управления между субъектами научно-технической и инновационной деятельности. Ключевые изменения затронут переформатирование деятельности НАО "Национальная академия наук Республики Казахстан" при Президенте Республики Казахстан, усиление научно-технической экспертизы, а также расширение функционала АО "Фонд науки" в части содействия в реализации программ по коммерциализации.</w:t>
      </w:r>
    </w:p>
    <w:bookmarkEnd w:id="149"/>
    <w:bookmarkStart w:name="z182" w:id="150"/>
    <w:p>
      <w:pPr>
        <w:spacing w:after="0"/>
        <w:ind w:left="0"/>
        <w:jc w:val="both"/>
      </w:pPr>
      <w:r>
        <w:rPr>
          <w:rFonts w:ascii="Times New Roman"/>
          <w:b w:val="false"/>
          <w:i w:val="false"/>
          <w:color w:val="000000"/>
          <w:sz w:val="28"/>
        </w:rPr>
        <w:t xml:space="preserve">
      </w:t>
      </w:r>
      <w:r>
        <w:rPr>
          <w:rFonts w:ascii="Times New Roman"/>
          <w:b/>
          <w:i w:val="false"/>
          <w:color w:val="000000"/>
          <w:sz w:val="28"/>
        </w:rPr>
        <w:t>Укрепление кадрового потенциала</w:t>
      </w:r>
      <w:r>
        <w:rPr>
          <w:rFonts w:ascii="Times New Roman"/>
          <w:b w:val="false"/>
          <w:i w:val="false"/>
          <w:color w:val="000000"/>
          <w:sz w:val="28"/>
        </w:rPr>
        <w:t>. Поддержка профессионального развития позволит повысить конкурентоспособность научного состава. Финансовое стимулирование будет реализовано через доведение зарплат исследователей до конкурентного уровня, расширение пакета социальных льгот и инструментов поощрения за достигаемые результаты.</w:t>
      </w:r>
    </w:p>
    <w:bookmarkEnd w:id="150"/>
    <w:bookmarkStart w:name="z183"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университетской науки</w:t>
      </w:r>
      <w:r>
        <w:rPr>
          <w:rFonts w:ascii="Times New Roman"/>
          <w:b w:val="false"/>
          <w:i w:val="false"/>
          <w:color w:val="000000"/>
          <w:sz w:val="28"/>
        </w:rPr>
        <w:t>. Предполагаются разработка и реализация программы поддержки научно-технологических парков при университетах с выделением средств на развитие научных лабораторий и опытноиспытательной инфраструктуры. Продолжится работа по последовательному увеличению количества исследовательских университетов с выделением дополнительного финансирования, укреплению партнерства НИИ и университетов с ведущими мировыми научными центрами. На базе региональных вузов будут созданы центры академического и исследовательского превосходства.</w:t>
      </w:r>
    </w:p>
    <w:bookmarkEnd w:id="151"/>
    <w:bookmarkStart w:name="z184" w:id="152"/>
    <w:p>
      <w:pPr>
        <w:spacing w:after="0"/>
        <w:ind w:left="0"/>
        <w:jc w:val="both"/>
      </w:pPr>
      <w:r>
        <w:rPr>
          <w:rFonts w:ascii="Times New Roman"/>
          <w:b w:val="false"/>
          <w:i w:val="false"/>
          <w:color w:val="000000"/>
          <w:sz w:val="28"/>
        </w:rPr>
        <w:t xml:space="preserve">
      </w:t>
      </w:r>
      <w:r>
        <w:rPr>
          <w:rFonts w:ascii="Times New Roman"/>
          <w:b/>
          <w:i w:val="false"/>
          <w:color w:val="000000"/>
          <w:sz w:val="28"/>
        </w:rPr>
        <w:t>Модернизация научной инфраструктуры и цифровизация</w:t>
      </w:r>
      <w:r>
        <w:rPr>
          <w:rFonts w:ascii="Times New Roman"/>
          <w:b w:val="false"/>
          <w:i w:val="false"/>
          <w:color w:val="000000"/>
          <w:sz w:val="28"/>
        </w:rPr>
        <w:t>. Продолжится материально-техническое оснащение научных организаций, в том числе в рамках грантового и программно-целевого финансирования. Будут приняты меры по развитию инфраструктуры для опытно-конструкторских работ (инжиниринговые центры, технопарки) в научных организациях и университетах.</w:t>
      </w:r>
    </w:p>
    <w:bookmarkEnd w:id="152"/>
    <w:p>
      <w:pPr>
        <w:spacing w:after="0"/>
        <w:ind w:left="0"/>
        <w:jc w:val="both"/>
      </w:pPr>
      <w:r>
        <w:rPr>
          <w:rFonts w:ascii="Times New Roman"/>
          <w:b/>
          <w:i w:val="false"/>
          <w:color w:val="000000"/>
          <w:sz w:val="28"/>
        </w:rPr>
        <w:t>1.3. СОЦИАЛЬНАЯ ЗАЩИТА</w:t>
      </w:r>
    </w:p>
    <w:bookmarkStart w:name="z186" w:id="15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153"/>
    <w:bookmarkStart w:name="z187" w:id="154"/>
    <w:p>
      <w:pPr>
        <w:spacing w:after="0"/>
        <w:ind w:left="0"/>
        <w:jc w:val="both"/>
      </w:pPr>
      <w:r>
        <w:rPr>
          <w:rFonts w:ascii="Times New Roman"/>
          <w:b w:val="false"/>
          <w:i w:val="false"/>
          <w:color w:val="000000"/>
          <w:sz w:val="28"/>
        </w:rPr>
        <w:t>
      В Казахстане создана многоуровневая система социальной защиты, которая состоит из более чем 40 видов выплат и обеспечивает поддержку различных уязвимых категорий населения.</w:t>
      </w:r>
    </w:p>
    <w:bookmarkEnd w:id="154"/>
    <w:bookmarkStart w:name="z188" w:id="155"/>
    <w:p>
      <w:pPr>
        <w:spacing w:after="0"/>
        <w:ind w:left="0"/>
        <w:jc w:val="both"/>
      </w:pPr>
      <w:r>
        <w:rPr>
          <w:rFonts w:ascii="Times New Roman"/>
          <w:b w:val="false"/>
          <w:i w:val="false"/>
          <w:color w:val="000000"/>
          <w:sz w:val="28"/>
        </w:rPr>
        <w:t>
      Благодаря принимаемым мерам Казахстан за последние 16 лет добился значительного сокращения бедности. За 2006- 2022 годы уровень абсолютной бедности сократился с 18,2% до 5,2%.</w:t>
      </w:r>
    </w:p>
    <w:bookmarkEnd w:id="155"/>
    <w:bookmarkStart w:name="z189" w:id="156"/>
    <w:p>
      <w:pPr>
        <w:spacing w:after="0"/>
        <w:ind w:left="0"/>
        <w:jc w:val="both"/>
      </w:pPr>
      <w:r>
        <w:rPr>
          <w:rFonts w:ascii="Times New Roman"/>
          <w:b w:val="false"/>
          <w:i w:val="false"/>
          <w:color w:val="000000"/>
          <w:sz w:val="28"/>
        </w:rPr>
        <w:t>
      В целом, сегодня в стране насчитывается около 5 млн получателей пенсионных и социальных выплат. Ожидается, что в 2029 году число получателей достигнет 6 млн граждан. Важным элементом социальной защиты является Социальный кодекс Республики Казахстан, в котором закреплены основные принципы и направления социальной защиты.</w:t>
      </w:r>
    </w:p>
    <w:bookmarkEnd w:id="156"/>
    <w:bookmarkStart w:name="z190" w:id="157"/>
    <w:p>
      <w:pPr>
        <w:spacing w:after="0"/>
        <w:ind w:left="0"/>
        <w:jc w:val="both"/>
      </w:pPr>
      <w:r>
        <w:rPr>
          <w:rFonts w:ascii="Times New Roman"/>
          <w:b w:val="false"/>
          <w:i w:val="false"/>
          <w:color w:val="000000"/>
          <w:sz w:val="28"/>
        </w:rPr>
        <w:t>
      Однако ряд вызовов определяют потребность в адаптации и дальнейшем совершенствовании системы социальной защиты, чтобы более эффективно отвечать на растущие потребности различных слоев населения и обеспечивать адекватную поддержку.</w:t>
      </w:r>
    </w:p>
    <w:bookmarkEnd w:id="157"/>
    <w:bookmarkStart w:name="z191" w:id="158"/>
    <w:p>
      <w:pPr>
        <w:spacing w:after="0"/>
        <w:ind w:left="0"/>
        <w:jc w:val="both"/>
      </w:pPr>
      <w:r>
        <w:rPr>
          <w:rFonts w:ascii="Times New Roman"/>
          <w:b w:val="false"/>
          <w:i w:val="false"/>
          <w:color w:val="000000"/>
          <w:sz w:val="28"/>
        </w:rPr>
        <w:t xml:space="preserve">
      </w:t>
      </w:r>
      <w:r>
        <w:rPr>
          <w:rFonts w:ascii="Times New Roman"/>
          <w:b/>
          <w:i w:val="false"/>
          <w:color w:val="000000"/>
          <w:sz w:val="28"/>
        </w:rPr>
        <w:t>Несовершенство подходов в предоставлении мер социальной поддержки</w:t>
      </w:r>
    </w:p>
    <w:bookmarkEnd w:id="158"/>
    <w:bookmarkStart w:name="z192" w:id="159"/>
    <w:p>
      <w:pPr>
        <w:spacing w:after="0"/>
        <w:ind w:left="0"/>
        <w:jc w:val="both"/>
      </w:pPr>
      <w:r>
        <w:rPr>
          <w:rFonts w:ascii="Times New Roman"/>
          <w:b w:val="false"/>
          <w:i w:val="false"/>
          <w:color w:val="000000"/>
          <w:sz w:val="28"/>
        </w:rPr>
        <w:t>
      Сегодня система социальной защиты характеризуется недостаточной адресностью предоставляемых мер социальной поддержки. Соответственно, это влечет за собой рост расходов бюджета на социальные выплаты. К примеру, только за период с 2017 по 2022 год расходы выросли в 1,9 раза - с 2,1 трлн тенге до 4,0 трлн тенге. Такая ситуация требует проработки вопросов усиления адресности ряда мер социальной поддержки, в зависимости от уровня доходов населения.</w:t>
      </w:r>
    </w:p>
    <w:bookmarkEnd w:id="159"/>
    <w:bookmarkStart w:name="z193" w:id="160"/>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Недостаточная эффективность адресной социальной помощи</w:t>
      </w:r>
    </w:p>
    <w:bookmarkEnd w:id="160"/>
    <w:bookmarkStart w:name="z194" w:id="161"/>
    <w:p>
      <w:pPr>
        <w:spacing w:after="0"/>
        <w:ind w:left="0"/>
        <w:jc w:val="both"/>
      </w:pPr>
      <w:r>
        <w:rPr>
          <w:rFonts w:ascii="Times New Roman"/>
          <w:b w:val="false"/>
          <w:i w:val="false"/>
          <w:color w:val="000000"/>
          <w:sz w:val="28"/>
        </w:rPr>
        <w:t>
      На сегодняшний день в Казахстане для решения проблем бедности гражданам предоставляется адресная социальная помощь (далее - АСП), которая имеет ряд недостатков, связанных с процессом оценки нуждаемости, в том числе в части отсутствия полной информации о доходах граждан, обусловленной недостаточной интеграцией информационных систем государственных органов и других организаций, а также факторами, препятствующими получению социальной помощи. Также существуют недостатки в организации деятельности участковых комиссий, связанные с отсутствием оплаты труда, высокой нагрузкой и совмещением с основной работой, что влияет на качество оценки.</w:t>
      </w:r>
    </w:p>
    <w:bookmarkEnd w:id="161"/>
    <w:bookmarkStart w:name="z195" w:id="162"/>
    <w:p>
      <w:pPr>
        <w:spacing w:after="0"/>
        <w:ind w:left="0"/>
        <w:jc w:val="both"/>
      </w:pPr>
      <w:r>
        <w:rPr>
          <w:rFonts w:ascii="Times New Roman"/>
          <w:b w:val="false"/>
          <w:i w:val="false"/>
          <w:color w:val="000000"/>
          <w:sz w:val="28"/>
        </w:rPr>
        <w:t>
      Кроме того, сегодня более половины трудоспособных получателей АСП уже имеют работу. Вместе с тем АСП не включает эффективные меры для выведения данной категории получателей из бедности.</w:t>
      </w:r>
    </w:p>
    <w:bookmarkEnd w:id="162"/>
    <w:bookmarkStart w:name="z196" w:id="163"/>
    <w:p>
      <w:pPr>
        <w:spacing w:after="0"/>
        <w:ind w:left="0"/>
        <w:jc w:val="both"/>
      </w:pPr>
      <w:r>
        <w:rPr>
          <w:rFonts w:ascii="Times New Roman"/>
          <w:b w:val="false"/>
          <w:i w:val="false"/>
          <w:color w:val="000000"/>
          <w:sz w:val="28"/>
        </w:rPr>
        <w:t xml:space="preserve">
      </w:t>
      </w:r>
      <w:r>
        <w:rPr>
          <w:rFonts w:ascii="Times New Roman"/>
          <w:b/>
          <w:i w:val="false"/>
          <w:color w:val="000000"/>
          <w:sz w:val="28"/>
        </w:rPr>
        <w:t>Нераскрытый потенциал системы обязательного социального страхования</w:t>
      </w:r>
    </w:p>
    <w:bookmarkEnd w:id="163"/>
    <w:bookmarkStart w:name="z197" w:id="164"/>
    <w:p>
      <w:pPr>
        <w:spacing w:after="0"/>
        <w:ind w:left="0"/>
        <w:jc w:val="both"/>
      </w:pPr>
      <w:r>
        <w:rPr>
          <w:rFonts w:ascii="Times New Roman"/>
          <w:b w:val="false"/>
          <w:i w:val="false"/>
          <w:color w:val="000000"/>
          <w:sz w:val="28"/>
        </w:rPr>
        <w:t>
      Система обязательного социального страхования в Казахстане представляет собой дополнительный уровень поддержки работающих граждан при наступлении социальных рисков (базовый уровень представлен государственными пособиями из бюджета).</w:t>
      </w:r>
    </w:p>
    <w:bookmarkEnd w:id="164"/>
    <w:bookmarkStart w:name="z198" w:id="165"/>
    <w:p>
      <w:pPr>
        <w:spacing w:after="0"/>
        <w:ind w:left="0"/>
        <w:jc w:val="both"/>
      </w:pPr>
      <w:r>
        <w:rPr>
          <w:rFonts w:ascii="Times New Roman"/>
          <w:b w:val="false"/>
          <w:i w:val="false"/>
          <w:color w:val="000000"/>
          <w:sz w:val="28"/>
        </w:rPr>
        <w:t>
      В настоящее время обязательным социальным страхованием покрываются 5 видов социальных рисков потери трудового дохода, соответствующих международным стандартам.</w:t>
      </w:r>
    </w:p>
    <w:bookmarkEnd w:id="165"/>
    <w:bookmarkStart w:name="z199" w:id="166"/>
    <w:p>
      <w:pPr>
        <w:spacing w:after="0"/>
        <w:ind w:left="0"/>
        <w:jc w:val="both"/>
      </w:pPr>
      <w:r>
        <w:rPr>
          <w:rFonts w:ascii="Times New Roman"/>
          <w:b w:val="false"/>
          <w:i w:val="false"/>
          <w:color w:val="000000"/>
          <w:sz w:val="28"/>
        </w:rPr>
        <w:t>
      С 2020 года усилена взаимосвязь между размерами долгосрочных социальных выплат (по случаю утраты трудоспособности и потери кормильца) и трудовым стажем, то есть чем больше человек работает, тем выше размер выплаты. Ежегодно обеспечивается рост долгосрочных социальных выплат как минимум на уровень инфляции.</w:t>
      </w:r>
    </w:p>
    <w:bookmarkEnd w:id="166"/>
    <w:bookmarkStart w:name="z200" w:id="167"/>
    <w:p>
      <w:pPr>
        <w:spacing w:after="0"/>
        <w:ind w:left="0"/>
        <w:jc w:val="both"/>
      </w:pPr>
      <w:r>
        <w:rPr>
          <w:rFonts w:ascii="Times New Roman"/>
          <w:b w:val="false"/>
          <w:i w:val="false"/>
          <w:color w:val="000000"/>
          <w:sz w:val="28"/>
        </w:rPr>
        <w:t>
      В условиях недостаточно широкой налоговой базы, уязвимости государственного бюджета к экономическим шокам и внешним потрясениям постоянно растущие расходы на социальную защиту вызывают необходимость более динамичного развития систем, основанных на принципах страхования.</w:t>
      </w:r>
    </w:p>
    <w:bookmarkEnd w:id="167"/>
    <w:bookmarkStart w:name="z201" w:id="168"/>
    <w:p>
      <w:pPr>
        <w:spacing w:after="0"/>
        <w:ind w:left="0"/>
        <w:jc w:val="both"/>
      </w:pPr>
      <w:r>
        <w:rPr>
          <w:rFonts w:ascii="Times New Roman"/>
          <w:b w:val="false"/>
          <w:i w:val="false"/>
          <w:color w:val="000000"/>
          <w:sz w:val="28"/>
        </w:rPr>
        <w:t>
      Вместе с тем на сегодняшний день остаются проблемными вопросы диспропорций между поступлениями взносов в Государственный фонд социального страхования и обязательствами по социальным выплатам, недостаточного развития видов обязательного социального страхования, а также вопросы финансовой устойчивости и защиты средств фонда от нецелевого и неэффективного использования.</w:t>
      </w:r>
    </w:p>
    <w:bookmarkEnd w:id="168"/>
    <w:bookmarkStart w:name="z202" w:id="169"/>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Недостаточная гибкость пенсионной системы</w:t>
      </w:r>
    </w:p>
    <w:bookmarkEnd w:id="169"/>
    <w:bookmarkStart w:name="z203" w:id="170"/>
    <w:p>
      <w:pPr>
        <w:spacing w:after="0"/>
        <w:ind w:left="0"/>
        <w:jc w:val="both"/>
      </w:pPr>
      <w:r>
        <w:rPr>
          <w:rFonts w:ascii="Times New Roman"/>
          <w:b w:val="false"/>
          <w:i w:val="false"/>
          <w:color w:val="000000"/>
          <w:sz w:val="28"/>
        </w:rPr>
        <w:t>
      Пенсионное обеспечение является одним из ключевых компонентов системы социальной защиты. Сегодня в структуре расходов на социальные выплаты пенсии занимают около 70%.</w:t>
      </w:r>
    </w:p>
    <w:bookmarkEnd w:id="170"/>
    <w:bookmarkStart w:name="z204" w:id="171"/>
    <w:p>
      <w:pPr>
        <w:spacing w:after="0"/>
        <w:ind w:left="0"/>
        <w:jc w:val="both"/>
      </w:pPr>
      <w:r>
        <w:rPr>
          <w:rFonts w:ascii="Times New Roman"/>
          <w:b w:val="false"/>
          <w:i w:val="false"/>
          <w:color w:val="000000"/>
          <w:sz w:val="28"/>
        </w:rPr>
        <w:t>
      По итогам 2023 года коэффициент замещения дохода пенсионными выплатами к среднемесячной заработной плате, сложившейся за предыдущий период (2022 год), составил 49,3%, при этом за счет накопительной части пенсии - 10,3%.</w:t>
      </w:r>
    </w:p>
    <w:bookmarkEnd w:id="171"/>
    <w:bookmarkStart w:name="z205" w:id="172"/>
    <w:p>
      <w:pPr>
        <w:spacing w:after="0"/>
        <w:ind w:left="0"/>
        <w:jc w:val="both"/>
      </w:pPr>
      <w:r>
        <w:rPr>
          <w:rFonts w:ascii="Times New Roman"/>
          <w:b w:val="false"/>
          <w:i w:val="false"/>
          <w:color w:val="000000"/>
          <w:sz w:val="28"/>
        </w:rPr>
        <w:t>
      В условиях сворачивания солидарного компонента усиливается роль накопительной части пенсии. По итогам 2023 года накопительной пенсионной системой охвачено 91,3% занятого населения. Среди самостоятельно занятого населения охват системой составляет лишь 35,3% или 2 188,5 тыс. человек. Однако, ряд системных проблем, таких как низкий и непостоянный уровень доходов, недостаточные уровень охвата и регулярность взносов в связи с высокой долей неформальной занятости, невысокий уровень реальной доходности пенсионных активов, недоверие к финансовым институтам и недостаточный уровень финансовой грамотности населения создают вызовы для эффективного функционирования и повышения устойчивости пенсионной системы.</w:t>
      </w:r>
    </w:p>
    <w:bookmarkEnd w:id="172"/>
    <w:bookmarkStart w:name="z206" w:id="173"/>
    <w:p>
      <w:pPr>
        <w:spacing w:after="0"/>
        <w:ind w:left="0"/>
        <w:jc w:val="both"/>
      </w:pPr>
      <w:r>
        <w:rPr>
          <w:rFonts w:ascii="Times New Roman"/>
          <w:b w:val="false"/>
          <w:i w:val="false"/>
          <w:color w:val="000000"/>
          <w:sz w:val="28"/>
        </w:rPr>
        <w:t xml:space="preserve">
      </w:t>
      </w:r>
      <w:r>
        <w:rPr>
          <w:rFonts w:ascii="Times New Roman"/>
          <w:b/>
          <w:i w:val="false"/>
          <w:color w:val="000000"/>
          <w:sz w:val="28"/>
        </w:rPr>
        <w:t>Нерешенные вопросы на пути к инклюзивному обществу</w:t>
      </w:r>
    </w:p>
    <w:bookmarkEnd w:id="173"/>
    <w:bookmarkStart w:name="z207" w:id="174"/>
    <w:p>
      <w:pPr>
        <w:spacing w:after="0"/>
        <w:ind w:left="0"/>
        <w:jc w:val="both"/>
      </w:pPr>
      <w:r>
        <w:rPr>
          <w:rFonts w:ascii="Times New Roman"/>
          <w:b w:val="false"/>
          <w:i w:val="false"/>
          <w:color w:val="000000"/>
          <w:sz w:val="28"/>
        </w:rPr>
        <w:t>
      На 1 января 2024 года численность лиц с инвалидностью (далее - ЛСИ) составляет более 725 тыс. человек, в том числе 109,5 тыс. детей до 18 лет. Из общего числа ЛСИ численность лиц трудоспособного возраста составляет 420,3 тыс. человек. Число официально работающих лиц с инвалидностью достигает 135,2 тыс. человек. Вместе с тем сохраняется высокий уровень инвалидизации населения, а также замедляется процесс полной интеграции и адаптации ЛСИ в общество. Низкая приспособленность и доступность инфраструктуры и услуг для ЛСИ приводит к вынужденному пребыванию их в домашних условиях без соответствующей интеграции и реабилитации, что усугубляет тяжесть их состояния.</w:t>
      </w:r>
    </w:p>
    <w:bookmarkEnd w:id="174"/>
    <w:bookmarkStart w:name="z208" w:id="175"/>
    <w:p>
      <w:pPr>
        <w:spacing w:after="0"/>
        <w:ind w:left="0"/>
        <w:jc w:val="both"/>
      </w:pPr>
      <w:r>
        <w:rPr>
          <w:rFonts w:ascii="Times New Roman"/>
          <w:b w:val="false"/>
          <w:i w:val="false"/>
          <w:color w:val="000000"/>
          <w:sz w:val="28"/>
        </w:rPr>
        <w:t>
      Несмотря на то, что в стране действуют квотирование рабочих мест для ЛСИ, механизм создания специальных рабочих мест для ЛСИ с субсидированием заработной платы в течение 3 лет, а также приоритетное право при вовлечении в активные меры содействия занятости, уровень их трудоустройства в стране составляет 26% (без учета ЛСИ первой и второй групп, если инвалидность установлена бессрочно), тогда как в странах ОЭСР данный показатель составляет 40%.</w:t>
      </w:r>
    </w:p>
    <w:bookmarkEnd w:id="175"/>
    <w:bookmarkStart w:name="z209" w:id="176"/>
    <w:p>
      <w:pPr>
        <w:spacing w:after="0"/>
        <w:ind w:left="0"/>
        <w:jc w:val="both"/>
      </w:pPr>
      <w:r>
        <w:rPr>
          <w:rFonts w:ascii="Times New Roman"/>
          <w:b w:val="false"/>
          <w:i w:val="false"/>
          <w:color w:val="000000"/>
          <w:sz w:val="28"/>
        </w:rPr>
        <w:t>
      Другой вопрос, требующий внимания, касается качества социальных услуг. Сегодня наблюдаются значительные региональные дисбалансы в финансировании деятельности центров оказания специальных услуг, находящихся в ведении местных исполнительных органов. Кроме того, деятельность указанных центров не лицензируется, что в итоге сказывается на качестве услуг.</w:t>
      </w:r>
    </w:p>
    <w:bookmarkEnd w:id="176"/>
    <w:bookmarkStart w:name="z210" w:id="17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177"/>
    <w:bookmarkStart w:name="z211" w:id="178"/>
    <w:p>
      <w:pPr>
        <w:spacing w:after="0"/>
        <w:ind w:left="0"/>
        <w:jc w:val="both"/>
      </w:pPr>
      <w:r>
        <w:rPr>
          <w:rFonts w:ascii="Times New Roman"/>
          <w:b w:val="false"/>
          <w:i w:val="false"/>
          <w:color w:val="000000"/>
          <w:sz w:val="28"/>
        </w:rPr>
        <w:t>
      Развитие отрасли до 2029 года будет направлено на усиление адресности поддержки, рост пенсионных накоплений граждан и построение инклюзивного общества, результатом которых станет сокращение уровня бедности.</w:t>
      </w:r>
    </w:p>
    <w:bookmarkEnd w:id="178"/>
    <w:bookmarkStart w:name="z212" w:id="1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Совершенствование подходов в оказании мер социальной поддержки</w:t>
      </w:r>
    </w:p>
    <w:bookmarkEnd w:id="179"/>
    <w:bookmarkStart w:name="z213" w:id="180"/>
    <w:p>
      <w:pPr>
        <w:spacing w:after="0"/>
        <w:ind w:left="0"/>
        <w:jc w:val="both"/>
      </w:pPr>
      <w:r>
        <w:rPr>
          <w:rFonts w:ascii="Times New Roman"/>
          <w:b w:val="false"/>
          <w:i w:val="false"/>
          <w:color w:val="000000"/>
          <w:sz w:val="28"/>
        </w:rPr>
        <w:t>
      Работа в рамках данного приоритета будет направлена на полное, адресное и проактивное оказание мер социальной поддержки.</w:t>
      </w:r>
    </w:p>
    <w:bookmarkEnd w:id="180"/>
    <w:bookmarkStart w:name="z214" w:id="181"/>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Адресное и проактивное оказание мер социальной поддержки</w:t>
      </w:r>
      <w:r>
        <w:rPr>
          <w:rFonts w:ascii="Times New Roman"/>
          <w:b w:val="false"/>
          <w:i w:val="false"/>
          <w:color w:val="000000"/>
          <w:sz w:val="28"/>
        </w:rPr>
        <w:t>. В 2029 году большая часть государственных услуг в социально-трудовой сфере будет предоставляться комплексно в проактивной форме.</w:t>
      </w:r>
    </w:p>
    <w:bookmarkEnd w:id="181"/>
    <w:bookmarkStart w:name="z215" w:id="182"/>
    <w:p>
      <w:pPr>
        <w:spacing w:after="0"/>
        <w:ind w:left="0"/>
        <w:jc w:val="both"/>
      </w:pPr>
      <w:r>
        <w:rPr>
          <w:rFonts w:ascii="Times New Roman"/>
          <w:b w:val="false"/>
          <w:i w:val="false"/>
          <w:color w:val="000000"/>
          <w:sz w:val="28"/>
        </w:rPr>
        <w:t xml:space="preserve">
      Кроме того, будут постепенно прорабатываться вопросы усиления адресности ряда мер социальной поддержки, с учетом материального положения граждан. Использование Цифровой карты семьи (далее - ЦКС) обеспечит необходимую базу для объективной оценки </w:t>
      </w:r>
      <w:r>
        <w:rPr>
          <w:rFonts w:ascii="Times New Roman"/>
          <w:b/>
          <w:i w:val="false"/>
          <w:color w:val="000000"/>
          <w:sz w:val="28"/>
        </w:rPr>
        <w:t>нуждаемости.</w:t>
      </w:r>
    </w:p>
    <w:bookmarkEnd w:id="182"/>
    <w:bookmarkStart w:name="z216" w:id="183"/>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регулярной оценки и мониторинга индекса многомерной бедности</w:t>
      </w:r>
      <w:r>
        <w:rPr>
          <w:rFonts w:ascii="Times New Roman"/>
          <w:b w:val="false"/>
          <w:i w:val="false"/>
          <w:color w:val="000000"/>
          <w:sz w:val="28"/>
        </w:rPr>
        <w:t>. Для формирования целостной картины по уровню благосостояния граждан будет внедрен индекс многомерной бедности, который выступает важным дополнением к денежным показателям бедности, так как он непосредственно помогает выявить "наборы лишений" населения, и в соответствии с ними, реализовывать государственную политику.</w:t>
      </w:r>
    </w:p>
    <w:bookmarkEnd w:id="183"/>
    <w:bookmarkStart w:name="z217" w:id="18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адресной социальной помощи</w:t>
      </w:r>
    </w:p>
    <w:bookmarkEnd w:id="184"/>
    <w:bookmarkStart w:name="z218" w:id="185"/>
    <w:p>
      <w:pPr>
        <w:spacing w:after="0"/>
        <w:ind w:left="0"/>
        <w:jc w:val="both"/>
      </w:pPr>
      <w:r>
        <w:rPr>
          <w:rFonts w:ascii="Times New Roman"/>
          <w:b w:val="false"/>
          <w:i w:val="false"/>
          <w:color w:val="000000"/>
          <w:sz w:val="28"/>
        </w:rPr>
        <w:t>
      Работу в рамках данного приоритета предполагается направить на повышение эффективности адресной социальной помощи. Основные задачи включают совершенствование механизмов оценки нуждаемости и администрирования.</w:t>
      </w:r>
    </w:p>
    <w:bookmarkEnd w:id="185"/>
    <w:bookmarkStart w:name="z219" w:id="18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 условий и механизмов администрирования АСП</w:t>
      </w:r>
      <w:r>
        <w:rPr>
          <w:rFonts w:ascii="Times New Roman"/>
          <w:b w:val="false"/>
          <w:i w:val="false"/>
          <w:color w:val="000000"/>
          <w:sz w:val="28"/>
        </w:rPr>
        <w:t>. В целях повышения объективности оценки бедности с 1 января 2025 года черта бедности для назначения АСП будет определяться на основе медианного дохода. Кроме того, запланирована интеграция ЦКС с информационными системами финансовых организаций, предусмотрен механизм учета потребительских расходов семей/граждан. Также будет усовершенствована деятельность участковых комиссий путем обеспечения необходимых условий для их эффективной работы.</w:t>
      </w:r>
    </w:p>
    <w:bookmarkEnd w:id="186"/>
    <w:bookmarkStart w:name="z220" w:id="18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Развитие страхового компонента социальной защиты</w:t>
      </w:r>
    </w:p>
    <w:bookmarkEnd w:id="187"/>
    <w:bookmarkStart w:name="z221" w:id="188"/>
    <w:p>
      <w:pPr>
        <w:spacing w:after="0"/>
        <w:ind w:left="0"/>
        <w:jc w:val="both"/>
      </w:pPr>
      <w:r>
        <w:rPr>
          <w:rFonts w:ascii="Times New Roman"/>
          <w:b w:val="false"/>
          <w:i w:val="false"/>
          <w:color w:val="000000"/>
          <w:sz w:val="28"/>
        </w:rPr>
        <w:t>
      Основным фокусом в рамках данного приоритета будет развитие страхового компонента и увеличение охвата населения системой социального страхования.</w:t>
      </w:r>
    </w:p>
    <w:bookmarkEnd w:id="188"/>
    <w:bookmarkStart w:name="z222" w:id="18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страхового компонента системы социальной защиты</w:t>
      </w:r>
      <w:r>
        <w:rPr>
          <w:rFonts w:ascii="Times New Roman"/>
          <w:b w:val="false"/>
          <w:i w:val="false"/>
          <w:color w:val="000000"/>
          <w:sz w:val="28"/>
        </w:rPr>
        <w:t>. Запланированы повышение вовлеченности населения в социальное страхование через применение различных мотивационных механизмов для работающего населения, а также усиление связи между размерами социальных выплат и вкладом в систему, а также стажем участия в ней. Данные меры будут направлены на повышение привлекательности системы через постепенное увеличение коэффициента замещения дохода по выплатам, информированности населения о преимуществах социального страхования.</w:t>
      </w:r>
    </w:p>
    <w:bookmarkEnd w:id="189"/>
    <w:bookmarkStart w:name="z223" w:id="190"/>
    <w:p>
      <w:pPr>
        <w:spacing w:after="0"/>
        <w:ind w:left="0"/>
        <w:jc w:val="both"/>
      </w:pPr>
      <w:r>
        <w:rPr>
          <w:rFonts w:ascii="Times New Roman"/>
          <w:b w:val="false"/>
          <w:i w:val="false"/>
          <w:color w:val="000000"/>
          <w:sz w:val="28"/>
        </w:rPr>
        <w:t>
      Также предполагается расширение видов обязательного социального страхования. Кроме того, будут проработаны вопросы устранения текущих дисбалансов между выплатами, повышения независимости управления активами фонда и роста их реальной доходности.</w:t>
      </w:r>
    </w:p>
    <w:bookmarkEnd w:id="190"/>
    <w:bookmarkStart w:name="z224" w:id="19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Рост пенсионных накоплений граждан</w:t>
      </w:r>
    </w:p>
    <w:bookmarkEnd w:id="191"/>
    <w:bookmarkStart w:name="z225" w:id="192"/>
    <w:p>
      <w:pPr>
        <w:spacing w:after="0"/>
        <w:ind w:left="0"/>
        <w:jc w:val="both"/>
      </w:pPr>
      <w:r>
        <w:rPr>
          <w:rFonts w:ascii="Times New Roman"/>
          <w:b w:val="false"/>
          <w:i w:val="false"/>
          <w:color w:val="000000"/>
          <w:sz w:val="28"/>
        </w:rPr>
        <w:t>
      В рамках данного приоритета работа будет направлена на поддержание адекватности пенсионных выплат, повышение уровня вовлеченности неформально занятого населения в пенсионную систему и повышение эффективности управления пенсионными активами.</w:t>
      </w:r>
    </w:p>
    <w:bookmarkEnd w:id="192"/>
    <w:bookmarkStart w:name="z226" w:id="193"/>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Поддержание адекватности пенсионных выплат</w:t>
      </w:r>
      <w:r>
        <w:rPr>
          <w:rFonts w:ascii="Times New Roman"/>
          <w:b w:val="false"/>
          <w:i w:val="false"/>
          <w:color w:val="000000"/>
          <w:sz w:val="28"/>
        </w:rPr>
        <w:t>. Особое внимание будет уделено повышению роста реальной доходности пенсионных активов за счет повышения эффективности системы управления пенсионными активами, финансовой грамотности населения и его вовлеченности в формирование будущей пенсии.</w:t>
      </w:r>
    </w:p>
    <w:bookmarkEnd w:id="193"/>
    <w:bookmarkStart w:name="z227" w:id="194"/>
    <w:p>
      <w:pPr>
        <w:spacing w:after="0"/>
        <w:ind w:left="0"/>
        <w:jc w:val="both"/>
      </w:pPr>
      <w:r>
        <w:rPr>
          <w:rFonts w:ascii="Times New Roman"/>
          <w:b w:val="false"/>
          <w:i w:val="false"/>
          <w:color w:val="000000"/>
          <w:sz w:val="28"/>
        </w:rPr>
        <w:t>
      Продолжится поэтапное доведение размеров минимальной базовой пенсии с 54 до 70%, максимальной - со 100 до 120% от прожиточного минимума, применяемого для социальных выплат, осуществляемых за счет бюджетных средств.</w:t>
      </w:r>
    </w:p>
    <w:bookmarkEnd w:id="194"/>
    <w:bookmarkStart w:name="z228" w:id="195"/>
    <w:p>
      <w:pPr>
        <w:spacing w:after="0"/>
        <w:ind w:left="0"/>
        <w:jc w:val="both"/>
      </w:pPr>
      <w:r>
        <w:rPr>
          <w:rFonts w:ascii="Times New Roman"/>
          <w:b w:val="false"/>
          <w:i w:val="false"/>
          <w:color w:val="000000"/>
          <w:sz w:val="28"/>
        </w:rPr>
        <w:t>
      Планируется внедрение гарантированного государством минимального размера пенсий, исчисляемый исходя из величины минимального размера заработной платы.</w:t>
      </w:r>
    </w:p>
    <w:bookmarkEnd w:id="195"/>
    <w:bookmarkStart w:name="z229" w:id="19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уровня вовлеченности неформально занятого населения в накопительную пенсионную систему</w:t>
      </w:r>
      <w:r>
        <w:rPr>
          <w:rFonts w:ascii="Times New Roman"/>
          <w:b w:val="false"/>
          <w:i w:val="false"/>
          <w:color w:val="000000"/>
          <w:sz w:val="28"/>
        </w:rPr>
        <w:t>. Будет продолжено дальнейшее внедрение гибких механизмов внесения пенсионных взносов для самозанятых, масштабирование платформенной занятости на другие виды неформальной деятельности, рассмотрена возможность предоставления стимулов для участия самозанятых в системе.</w:t>
      </w:r>
    </w:p>
    <w:bookmarkEnd w:id="196"/>
    <w:bookmarkStart w:name="z230" w:id="19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Построение инклюзивного общества</w:t>
      </w:r>
    </w:p>
    <w:bookmarkEnd w:id="197"/>
    <w:bookmarkStart w:name="z231" w:id="198"/>
    <w:p>
      <w:pPr>
        <w:spacing w:after="0"/>
        <w:ind w:left="0"/>
        <w:jc w:val="both"/>
      </w:pPr>
      <w:r>
        <w:rPr>
          <w:rFonts w:ascii="Times New Roman"/>
          <w:b w:val="false"/>
          <w:i w:val="false"/>
          <w:color w:val="000000"/>
          <w:sz w:val="28"/>
        </w:rPr>
        <w:t>
      Работа в рамках данного приоритета будет направлена на обеспечение роста трудоустройства ЛСИ, повышение доступности социально значимых объектов и качества социальных услуг.</w:t>
      </w:r>
    </w:p>
    <w:bookmarkEnd w:id="198"/>
    <w:bookmarkStart w:name="z232" w:id="199"/>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ответственности и заинтересованности работодателей в трудоустройстве ЛСИ</w:t>
      </w:r>
      <w:r>
        <w:rPr>
          <w:rFonts w:ascii="Times New Roman"/>
          <w:b w:val="false"/>
          <w:i w:val="false"/>
          <w:color w:val="000000"/>
          <w:sz w:val="28"/>
        </w:rPr>
        <w:t>. С целью усиления ответственности и повышения мотивации работодателей к соблюдению требований по трудоустройству ЛСИ планируется пересмотреть стимулирующие меры, поощряющие найм данной категории граждан.</w:t>
      </w:r>
    </w:p>
    <w:bookmarkEnd w:id="199"/>
    <w:bookmarkStart w:name="z233" w:id="200"/>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уровня доступности и приспособленности инфраструктурной среды для ЛСИ</w:t>
      </w:r>
      <w:r>
        <w:rPr>
          <w:rFonts w:ascii="Times New Roman"/>
          <w:b w:val="false"/>
          <w:i w:val="false"/>
          <w:color w:val="000000"/>
          <w:sz w:val="28"/>
        </w:rPr>
        <w:t>. В рамках этой работы будет усилена ответственность за нарушения требований безбарьерной среды. Предполагается предусмотреть применение штрафных санкций за нарушение требований по доступности объектов для ЛСИ, введение стимулирующих мер для субъектов частного предпринимательства, которые активно участвуют в создании доступной среды для ЛСИ, а также выделение средств на целевое обеспечение доступной среды для ЛСИ в размерах 1% от общего объема бюджета государственных и местных исполнительных органов.</w:t>
      </w:r>
    </w:p>
    <w:bookmarkEnd w:id="200"/>
    <w:bookmarkStart w:name="z234" w:id="201"/>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социальных услуг в сфере социальной защиты</w:t>
      </w:r>
      <w:r>
        <w:rPr>
          <w:rFonts w:ascii="Times New Roman"/>
          <w:b w:val="false"/>
          <w:i w:val="false"/>
          <w:color w:val="000000"/>
          <w:sz w:val="28"/>
        </w:rPr>
        <w:t>. Будут осуществлены поэтапная демонополизация центров оказания специальных социальных услуг, расширение участия частного сектора и неправительственных организаций, а также пересмотрена система финансирования, предусматривающая внедрение индивидуальных и комплексных тарифов специальных социальных услуг.</w:t>
      </w:r>
    </w:p>
    <w:bookmarkEnd w:id="201"/>
    <w:bookmarkStart w:name="z235" w:id="202"/>
    <w:p>
      <w:pPr>
        <w:spacing w:after="0"/>
        <w:ind w:left="0"/>
        <w:jc w:val="both"/>
      </w:pPr>
      <w:r>
        <w:rPr>
          <w:rFonts w:ascii="Times New Roman"/>
          <w:b w:val="false"/>
          <w:i w:val="false"/>
          <w:color w:val="000000"/>
          <w:sz w:val="28"/>
        </w:rPr>
        <w:t>
      Кроме того, планируется пересмотреть стандарты оказания услуг и усилить требования к деятельности центров (лицензирование их деятельности, цифровизация).</w:t>
      </w:r>
    </w:p>
    <w:bookmarkEnd w:id="202"/>
    <w:p>
      <w:pPr>
        <w:spacing w:after="0"/>
        <w:ind w:left="0"/>
        <w:jc w:val="both"/>
      </w:pPr>
      <w:r>
        <w:rPr>
          <w:rFonts w:ascii="Times New Roman"/>
          <w:b/>
          <w:i w:val="false"/>
          <w:color w:val="000000"/>
          <w:sz w:val="28"/>
        </w:rPr>
        <w:t>1.4. КОМФОРТНАЯ СРЕДА</w:t>
      </w:r>
    </w:p>
    <w:bookmarkStart w:name="z237" w:id="20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03"/>
    <w:bookmarkStart w:name="z238" w:id="204"/>
    <w:p>
      <w:pPr>
        <w:spacing w:after="0"/>
        <w:ind w:left="0"/>
        <w:jc w:val="both"/>
      </w:pPr>
      <w:r>
        <w:rPr>
          <w:rFonts w:ascii="Times New Roman"/>
          <w:b w:val="false"/>
          <w:i w:val="false"/>
          <w:color w:val="000000"/>
          <w:sz w:val="28"/>
        </w:rPr>
        <w:t>
      Создание, поддержание и повышение уровня комфорта жизни являются одними из ключевых задач региональной политики государства.</w:t>
      </w:r>
    </w:p>
    <w:bookmarkEnd w:id="204"/>
    <w:bookmarkStart w:name="z239" w:id="205"/>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связанные с быстрым ростом крупных городов и нетто- оттоком городского населения в некоторых областях</w:t>
      </w:r>
    </w:p>
    <w:bookmarkEnd w:id="205"/>
    <w:bookmarkStart w:name="z240" w:id="206"/>
    <w:p>
      <w:pPr>
        <w:spacing w:after="0"/>
        <w:ind w:left="0"/>
        <w:jc w:val="both"/>
      </w:pPr>
      <w:r>
        <w:rPr>
          <w:rFonts w:ascii="Times New Roman"/>
          <w:b w:val="false"/>
          <w:i w:val="false"/>
          <w:color w:val="000000"/>
          <w:sz w:val="28"/>
        </w:rPr>
        <w:t>
      В последние годы наблюдается более интенсивный рост урбанизации, достигший к 2023 году 62%. По итогам 2022 года уровень обеспеченности городов социальными благами и услугами в соответствии с Системой региональных стандартов составил лишь 84,7%.</w:t>
      </w:r>
    </w:p>
    <w:bookmarkEnd w:id="206"/>
    <w:bookmarkStart w:name="z241" w:id="207"/>
    <w:p>
      <w:pPr>
        <w:spacing w:after="0"/>
        <w:ind w:left="0"/>
        <w:jc w:val="both"/>
      </w:pPr>
      <w:r>
        <w:rPr>
          <w:rFonts w:ascii="Times New Roman"/>
          <w:b w:val="false"/>
          <w:i w:val="false"/>
          <w:color w:val="000000"/>
          <w:sz w:val="28"/>
        </w:rPr>
        <w:t>
      В результате потока внутренних мигрантов население столицы и городов республиканского значения за последние 5 лет выросло на 21% и сегодня составляет 4,7 млн человек. Однако такой сильный рост сопровождался изношенностью инфраструктуры (свыше 60%) и повышенной нагрузкой на нее.</w:t>
      </w:r>
    </w:p>
    <w:bookmarkEnd w:id="207"/>
    <w:bookmarkStart w:name="z242" w:id="208"/>
    <w:p>
      <w:pPr>
        <w:spacing w:after="0"/>
        <w:ind w:left="0"/>
        <w:jc w:val="both"/>
      </w:pPr>
      <w:r>
        <w:rPr>
          <w:rFonts w:ascii="Times New Roman"/>
          <w:b w:val="false"/>
          <w:i w:val="false"/>
          <w:color w:val="000000"/>
          <w:sz w:val="28"/>
        </w:rPr>
        <w:t>
      Население в других городах за последние 5 лет выросло на 10% и составляет 7,5 млн человек. Однако отмечается неравномерный характер роста: негативный баланс миграции наблюдается в городах 11 областей страны из-за медленного повышения экономической активности и низкого уровня инвестиций в городскую инфраструктуру. С 2004 по 2023 год население моногородов выросло на 12%, что меньше среднего роста населения страны (32%) и всего городского населения (43%).</w:t>
      </w:r>
    </w:p>
    <w:bookmarkEnd w:id="208"/>
    <w:bookmarkStart w:name="z243" w:id="209"/>
    <w:p>
      <w:pPr>
        <w:spacing w:after="0"/>
        <w:ind w:left="0"/>
        <w:jc w:val="both"/>
      </w:pPr>
      <w:r>
        <w:rPr>
          <w:rFonts w:ascii="Times New Roman"/>
          <w:b w:val="false"/>
          <w:i w:val="false"/>
          <w:color w:val="000000"/>
          <w:sz w:val="28"/>
        </w:rPr>
        <w:t>
      Кроме того, существует проблема с обеспеченностью жильем: в среднем на одного жителя города приходится 25,8 кв. м жилья, что ниже рекомендуемого стандарта ООН (30 кв. м).</w:t>
      </w:r>
    </w:p>
    <w:bookmarkEnd w:id="209"/>
    <w:bookmarkStart w:name="z244" w:id="210"/>
    <w:p>
      <w:pPr>
        <w:spacing w:after="0"/>
        <w:ind w:left="0"/>
        <w:jc w:val="both"/>
      </w:pPr>
      <w:r>
        <w:rPr>
          <w:rFonts w:ascii="Times New Roman"/>
          <w:b w:val="false"/>
          <w:i w:val="false"/>
          <w:color w:val="000000"/>
          <w:sz w:val="28"/>
        </w:rPr>
        <w:t>
      В крупных городах наблюдается проблема финансовой доступности жилья, в то время как в других городах проблемы связаны с его наличием и качеством. Существует высокая доля домов со сроком эксплуатации более 30 лет. Так, по стране 58% домов были построены до 1991 года.</w:t>
      </w:r>
    </w:p>
    <w:bookmarkEnd w:id="210"/>
    <w:bookmarkStart w:name="z245" w:id="211"/>
    <w:p>
      <w:pPr>
        <w:spacing w:after="0"/>
        <w:ind w:left="0"/>
        <w:jc w:val="both"/>
      </w:pPr>
      <w:r>
        <w:rPr>
          <w:rFonts w:ascii="Times New Roman"/>
          <w:b w:val="false"/>
          <w:i w:val="false"/>
          <w:color w:val="000000"/>
          <w:sz w:val="28"/>
        </w:rPr>
        <w:t>
      Следующей существенной проблемой жилья в стране является наличие почти 2 тыс. аварийных домов (общей площадью 541 тыс. м2), в которых проживают почти 30 тыс. человек.</w:t>
      </w:r>
    </w:p>
    <w:bookmarkEnd w:id="211"/>
    <w:bookmarkStart w:name="z246" w:id="212"/>
    <w:p>
      <w:pPr>
        <w:spacing w:after="0"/>
        <w:ind w:left="0"/>
        <w:jc w:val="both"/>
      </w:pPr>
      <w:r>
        <w:rPr>
          <w:rFonts w:ascii="Times New Roman"/>
          <w:b w:val="false"/>
          <w:i w:val="false"/>
          <w:color w:val="000000"/>
          <w:sz w:val="28"/>
        </w:rPr>
        <w:t xml:space="preserve">
      </w:t>
      </w:r>
      <w:r>
        <w:rPr>
          <w:rFonts w:ascii="Times New Roman"/>
          <w:b/>
          <w:i w:val="false"/>
          <w:color w:val="000000"/>
          <w:sz w:val="28"/>
        </w:rPr>
        <w:t>Дисперсность и малый размер сел</w:t>
      </w:r>
    </w:p>
    <w:bookmarkEnd w:id="212"/>
    <w:bookmarkStart w:name="z247" w:id="213"/>
    <w:p>
      <w:pPr>
        <w:spacing w:after="0"/>
        <w:ind w:left="0"/>
        <w:jc w:val="both"/>
      </w:pPr>
      <w:r>
        <w:rPr>
          <w:rFonts w:ascii="Times New Roman"/>
          <w:b w:val="false"/>
          <w:i w:val="false"/>
          <w:color w:val="000000"/>
          <w:sz w:val="28"/>
        </w:rPr>
        <w:t>
      Одним из основных вызовов регионального развития остаются дисперсность и малый размер сел, особенно выраженные в северном и центрально-восточном макрорегионах, где до 70% (около 2,2 тыс.) сельских населенных пунктов (далее - СНП) имеют численность населения менее 500 человек. Для сравнения: на юге страны доля таких сел составляет 30%.</w:t>
      </w:r>
    </w:p>
    <w:bookmarkEnd w:id="213"/>
    <w:bookmarkStart w:name="z248" w:id="214"/>
    <w:p>
      <w:pPr>
        <w:spacing w:after="0"/>
        <w:ind w:left="0"/>
        <w:jc w:val="both"/>
      </w:pPr>
      <w:r>
        <w:rPr>
          <w:rFonts w:ascii="Times New Roman"/>
          <w:b w:val="false"/>
          <w:i w:val="false"/>
          <w:color w:val="000000"/>
          <w:sz w:val="28"/>
        </w:rPr>
        <w:t>
      В 2022 году уровень обеспеченности СНП социальными благами и услугами в соответствии с Системой региональных стандартов составил лишь 62,2%. Около 2,8 тыс. школ признаны малокомплектными, причем основная их часть находится в сельской местности; более 800 сел в отдаленных районах не имеют пункты первой медицинской помощи. Данная ситуация также усугубляется тем, что стоимость строительства инфраструктуры в сельской местности в 20 раз превышает стоимость строительства такой инфраструктуры в городе в пересчете на каждого жителя.</w:t>
      </w:r>
    </w:p>
    <w:bookmarkEnd w:id="214"/>
    <w:bookmarkStart w:name="z249" w:id="215"/>
    <w:p>
      <w:pPr>
        <w:spacing w:after="0"/>
        <w:ind w:left="0"/>
        <w:jc w:val="both"/>
      </w:pPr>
      <w:r>
        <w:rPr>
          <w:rFonts w:ascii="Times New Roman"/>
          <w:b w:val="false"/>
          <w:i w:val="false"/>
          <w:color w:val="000000"/>
          <w:sz w:val="28"/>
        </w:rPr>
        <w:t>
      Также существуют проблемы дефицита кадров в селах: дефицит педагогов составляет более 15 тыс. человек, дефицит среднего медицинского персонала - более 1 тыс. человек.</w:t>
      </w:r>
    </w:p>
    <w:bookmarkEnd w:id="215"/>
    <w:bookmarkStart w:name="z250" w:id="216"/>
    <w:p>
      <w:pPr>
        <w:spacing w:after="0"/>
        <w:ind w:left="0"/>
        <w:jc w:val="both"/>
      </w:pPr>
      <w:r>
        <w:rPr>
          <w:rFonts w:ascii="Times New Roman"/>
          <w:b w:val="false"/>
          <w:i w:val="false"/>
          <w:color w:val="000000"/>
          <w:sz w:val="28"/>
        </w:rPr>
        <w:t xml:space="preserve">
      </w:t>
      </w:r>
      <w:r>
        <w:rPr>
          <w:rFonts w:ascii="Times New Roman"/>
          <w:b/>
          <w:i w:val="false"/>
          <w:color w:val="000000"/>
          <w:sz w:val="28"/>
        </w:rPr>
        <w:t>Дисбалансы в социально-демографическом и экономическом положении макрорегионов</w:t>
      </w:r>
    </w:p>
    <w:bookmarkEnd w:id="216"/>
    <w:bookmarkStart w:name="z251" w:id="217"/>
    <w:p>
      <w:pPr>
        <w:spacing w:after="0"/>
        <w:ind w:left="0"/>
        <w:jc w:val="both"/>
      </w:pPr>
      <w:r>
        <w:rPr>
          <w:rFonts w:ascii="Times New Roman"/>
          <w:b w:val="false"/>
          <w:i w:val="false"/>
          <w:color w:val="000000"/>
          <w:sz w:val="28"/>
        </w:rPr>
        <w:t>
      Географическое расположение, экономическая специализация, характер рыночных связей и система расселения населения позволяют отчетливо разделить территорию страны на пять макрорегионов.</w:t>
      </w:r>
    </w:p>
    <w:bookmarkEnd w:id="217"/>
    <w:bookmarkStart w:name="z252" w:id="218"/>
    <w:p>
      <w:pPr>
        <w:spacing w:after="0"/>
        <w:ind w:left="0"/>
        <w:jc w:val="both"/>
      </w:pPr>
      <w:r>
        <w:rPr>
          <w:rFonts w:ascii="Times New Roman"/>
          <w:b w:val="false"/>
          <w:i w:val="false"/>
          <w:color w:val="000000"/>
          <w:sz w:val="28"/>
        </w:rPr>
        <w:t>
      При этом экономика каждого из макрорегионов характеризуется следующим образом:</w:t>
      </w:r>
    </w:p>
    <w:bookmarkEnd w:id="218"/>
    <w:bookmarkStart w:name="z253" w:id="219"/>
    <w:p>
      <w:pPr>
        <w:spacing w:after="0"/>
        <w:ind w:left="0"/>
        <w:jc w:val="both"/>
      </w:pPr>
      <w:r>
        <w:rPr>
          <w:rFonts w:ascii="Times New Roman"/>
          <w:b w:val="false"/>
          <w:i w:val="false"/>
          <w:color w:val="000000"/>
          <w:sz w:val="28"/>
        </w:rPr>
        <w:t>
      - западный макрорегион: большая доля горнодобывающей промышленности (41% ВРП региона и 79% горнодобывающей промышленности страны), но самый низкий удельный вес в обрабатывающей промышленности страны;</w:t>
      </w:r>
    </w:p>
    <w:bookmarkEnd w:id="219"/>
    <w:bookmarkStart w:name="z254" w:id="220"/>
    <w:p>
      <w:pPr>
        <w:spacing w:after="0"/>
        <w:ind w:left="0"/>
        <w:jc w:val="both"/>
      </w:pPr>
      <w:r>
        <w:rPr>
          <w:rFonts w:ascii="Times New Roman"/>
          <w:b w:val="false"/>
          <w:i w:val="false"/>
          <w:color w:val="000000"/>
          <w:sz w:val="28"/>
        </w:rPr>
        <w:t>
      - южный макрорегион: 30% сельского хозяйства страны и относительно высокая доля самозанятого населения, в частности в Туркестанской области (46%);</w:t>
      </w:r>
    </w:p>
    <w:bookmarkEnd w:id="220"/>
    <w:bookmarkStart w:name="z255" w:id="221"/>
    <w:p>
      <w:pPr>
        <w:spacing w:after="0"/>
        <w:ind w:left="0"/>
        <w:jc w:val="both"/>
      </w:pPr>
      <w:r>
        <w:rPr>
          <w:rFonts w:ascii="Times New Roman"/>
          <w:b w:val="false"/>
          <w:i w:val="false"/>
          <w:color w:val="000000"/>
          <w:sz w:val="28"/>
        </w:rPr>
        <w:t>
      - северный макрорегион: 34% сельского хозяйства страны и низкий удельный вес обрабатывающей промышленности в ВВП страны (16%). Тем не менее регион показывает самый высокий средний годовой темп роста ВРП по стране за счет наращивания экспорта продукции горно- металлургического комплекса (далее - ГМК), роста агропромышленного комплекса (далее - АПК) и машиностроения;</w:t>
      </w:r>
    </w:p>
    <w:bookmarkEnd w:id="221"/>
    <w:bookmarkStart w:name="z256" w:id="222"/>
    <w:p>
      <w:pPr>
        <w:spacing w:after="0"/>
        <w:ind w:left="0"/>
        <w:jc w:val="both"/>
      </w:pPr>
      <w:r>
        <w:rPr>
          <w:rFonts w:ascii="Times New Roman"/>
          <w:b w:val="false"/>
          <w:i w:val="false"/>
          <w:color w:val="000000"/>
          <w:sz w:val="28"/>
        </w:rPr>
        <w:t>
      - центрально-восточный макрорегион: 39% обрабатывающей промышленности страны с преобладанием продукции невысокой степени передела;</w:t>
      </w:r>
    </w:p>
    <w:bookmarkEnd w:id="222"/>
    <w:bookmarkStart w:name="z257" w:id="223"/>
    <w:p>
      <w:pPr>
        <w:spacing w:after="0"/>
        <w:ind w:left="0"/>
        <w:jc w:val="both"/>
      </w:pPr>
      <w:r>
        <w:rPr>
          <w:rFonts w:ascii="Times New Roman"/>
          <w:b w:val="false"/>
          <w:i w:val="false"/>
          <w:color w:val="000000"/>
          <w:sz w:val="28"/>
        </w:rPr>
        <w:t>
      - мегаполисы: основные отрасли - торговля, операции с недвижимостью, финансовая и страховая деятельность, а также профессионально-техническая деятельность.</w:t>
      </w:r>
    </w:p>
    <w:bookmarkEnd w:id="223"/>
    <w:bookmarkStart w:name="z258" w:id="224"/>
    <w:p>
      <w:pPr>
        <w:spacing w:after="0"/>
        <w:ind w:left="0"/>
        <w:jc w:val="both"/>
      </w:pPr>
      <w:r>
        <w:rPr>
          <w:rFonts w:ascii="Times New Roman"/>
          <w:b w:val="false"/>
          <w:i w:val="false"/>
          <w:color w:val="000000"/>
          <w:sz w:val="28"/>
        </w:rPr>
        <w:t>
      Высокие темпы естественного прироста в южных и западных регионах страны указывают на значительный человеческий потенциал данных регионов. В то же время в северном и центрально-восточном макрорегионах наблюдаются низкие темпы прироста населения, являющиеся результатом как более низких показателей естественного прироста, так и высокого уровня миграции.</w:t>
      </w:r>
    </w:p>
    <w:bookmarkEnd w:id="224"/>
    <w:bookmarkStart w:name="z259" w:id="225"/>
    <w:p>
      <w:pPr>
        <w:spacing w:after="0"/>
        <w:ind w:left="0"/>
        <w:jc w:val="both"/>
      </w:pPr>
      <w:r>
        <w:rPr>
          <w:rFonts w:ascii="Times New Roman"/>
          <w:b w:val="false"/>
          <w:i w:val="false"/>
          <w:color w:val="000000"/>
          <w:sz w:val="28"/>
        </w:rPr>
        <w:t>
      Самые высокие уровни подушевого ВРП отмечаются в мегаполисах (19 тыс. долл. США) и в западном макрорегионе (16,5 тыс. долл. США), самые низкие - в северном (9,9 тыс. долл. США) и южном (5,0 тыс. долл. США) макрорегионах, отличающихся при этом относительно высокими темпами роста экономики. Одним из результатов таких различий являются значительные региональные диспропорции по показателям качества жизни населения.</w:t>
      </w:r>
    </w:p>
    <w:bookmarkEnd w:id="225"/>
    <w:bookmarkStart w:name="z260" w:id="22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26"/>
    <w:bookmarkStart w:name="z261" w:id="227"/>
    <w:p>
      <w:pPr>
        <w:spacing w:after="0"/>
        <w:ind w:left="0"/>
        <w:jc w:val="both"/>
      </w:pPr>
      <w:r>
        <w:rPr>
          <w:rFonts w:ascii="Times New Roman"/>
          <w:b w:val="false"/>
          <w:i w:val="false"/>
          <w:color w:val="000000"/>
          <w:sz w:val="28"/>
        </w:rPr>
        <w:t>
      Основными приоритетами развития комфортной среды и качества жизни населения будут стимулирование стабильного экономического роста на базе конкурентных преимуществ, развитие агломераций, повышение доступа к инфраструктуре и услугам в сельской местности на базе опорных сел, развитие "умных" населенных пунктов и повышение готовности к чрезвычайным ситуациям (далее - ЧС).</w:t>
      </w:r>
    </w:p>
    <w:bookmarkEnd w:id="227"/>
    <w:bookmarkStart w:name="z262" w:id="22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Стабильный экономический рост регионов на базе их конкурентных преимуществ</w:t>
      </w:r>
    </w:p>
    <w:bookmarkEnd w:id="228"/>
    <w:bookmarkStart w:name="z263" w:id="22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городов в качестве региональных "точек притяжения"</w:t>
      </w:r>
      <w:r>
        <w:rPr>
          <w:rFonts w:ascii="Times New Roman"/>
          <w:b w:val="false"/>
          <w:i w:val="false"/>
          <w:color w:val="000000"/>
          <w:sz w:val="28"/>
        </w:rPr>
        <w:t>. Города станут драйверами экономического развития страны и точками притяжения для жителей. При этом модель экономического развития будет определена для каждого города отдельно на базе детальной оценки их особенностей, конкурентных преимуществ и приоритетных возможностей.</w:t>
      </w:r>
    </w:p>
    <w:bookmarkEnd w:id="229"/>
    <w:bookmarkStart w:name="z264" w:id="230"/>
    <w:p>
      <w:pPr>
        <w:spacing w:after="0"/>
        <w:ind w:left="0"/>
        <w:jc w:val="both"/>
      </w:pPr>
      <w:r>
        <w:rPr>
          <w:rFonts w:ascii="Times New Roman"/>
          <w:b w:val="false"/>
          <w:i w:val="false"/>
          <w:color w:val="000000"/>
          <w:sz w:val="28"/>
        </w:rPr>
        <w:t>
      В моногородах продолжится реализация якорных инвестиционных проектов, партнерских программ с градообразующими предприятиями, а в малых городах приняты меры по содействию созданию крупных предприятий и поддержке роста существующих.</w:t>
      </w:r>
    </w:p>
    <w:bookmarkEnd w:id="230"/>
    <w:bookmarkStart w:name="z265" w:id="231"/>
    <w:p>
      <w:pPr>
        <w:spacing w:after="0"/>
        <w:ind w:left="0"/>
        <w:jc w:val="both"/>
      </w:pPr>
      <w:r>
        <w:rPr>
          <w:rFonts w:ascii="Times New Roman"/>
          <w:b w:val="false"/>
          <w:i w:val="false"/>
          <w:color w:val="000000"/>
          <w:sz w:val="28"/>
        </w:rPr>
        <w:t>
      Будут рассмотрены возможности развития дополнительных точек роста на основе международного опыта, таких как, например, создание университетских городков, инновационных или производственных хабов. Меры по развитию также включают поддержку предпринимательства и продуктивной занятости, в том числе через инструменты микрокредитования, комплексную модернизацию инженерной инфраструктуры.</w:t>
      </w:r>
    </w:p>
    <w:bookmarkEnd w:id="231"/>
    <w:bookmarkStart w:name="z266" w:id="232"/>
    <w:p>
      <w:pPr>
        <w:spacing w:after="0"/>
        <w:ind w:left="0"/>
        <w:jc w:val="both"/>
      </w:pPr>
      <w:r>
        <w:rPr>
          <w:rFonts w:ascii="Times New Roman"/>
          <w:b w:val="false"/>
          <w:i w:val="false"/>
          <w:color w:val="000000"/>
          <w:sz w:val="28"/>
        </w:rPr>
        <w:t>
      Росту уровня урбанизации и повышению ее управляемости будут способствовать и меры поддержки мобильности населения, учитывающие приоритеты и потребности различных сегментов переезжающих. Важными инструментами такой поддержки станут обеспечение возможности приобретения необходимых профессиональных навыков и поддержка трудоустройства, в том числе в перспективных отраслях (туризм, переработка продукции АПК, услуги).</w:t>
      </w:r>
    </w:p>
    <w:bookmarkEnd w:id="232"/>
    <w:bookmarkStart w:name="z267" w:id="23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благосостояния сельского населения</w:t>
      </w:r>
      <w:r>
        <w:rPr>
          <w:rFonts w:ascii="Times New Roman"/>
          <w:b w:val="false"/>
          <w:i w:val="false"/>
          <w:color w:val="000000"/>
          <w:sz w:val="28"/>
        </w:rPr>
        <w:t>. Необходимо развивать СНП на основе использования их конкурентных преимуществ, поиска "точек роста", выявления и поддержки приоритетных направлений развития, совершенствования механизма финансовой поддержки и развития собственной доходной базы районов и сельских округов.</w:t>
      </w:r>
    </w:p>
    <w:bookmarkEnd w:id="233"/>
    <w:bookmarkStart w:name="z268" w:id="234"/>
    <w:p>
      <w:pPr>
        <w:spacing w:after="0"/>
        <w:ind w:left="0"/>
        <w:jc w:val="both"/>
      </w:pPr>
      <w:r>
        <w:rPr>
          <w:rFonts w:ascii="Times New Roman"/>
          <w:b w:val="false"/>
          <w:i w:val="false"/>
          <w:color w:val="000000"/>
          <w:sz w:val="28"/>
        </w:rPr>
        <w:t>
      Будут приняты меры по созданию условий для сбыта продукции через торговые рынки, облегчению доступа к земельным, материальным, финансовым и информационным ресурсам, а также развитию связывающей инфраструктуры, позволяющей сельскому населению взаимодействовать с центрами экономического роста.</w:t>
      </w:r>
    </w:p>
    <w:bookmarkEnd w:id="234"/>
    <w:bookmarkStart w:name="z269" w:id="23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развитие приграничных территорий</w:t>
      </w:r>
      <w:r>
        <w:rPr>
          <w:rFonts w:ascii="Times New Roman"/>
          <w:b w:val="false"/>
          <w:i w:val="false"/>
          <w:color w:val="000000"/>
          <w:sz w:val="28"/>
        </w:rPr>
        <w:t>. Продолжится реализация мер по развитию социальной, транспортной-логистической, инженерной и пограничной инфраструктуры. Государственная поддержка будет направлена на развитие экономики приграничных территорий, стимулирование малого и среднего предпринимательства. При этом особое внимание предполагается уделить развитию трансграничных торговых и транспортно-логистических центров в приграничных зонах.</w:t>
      </w:r>
    </w:p>
    <w:bookmarkEnd w:id="235"/>
    <w:bookmarkStart w:name="z270" w:id="23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Комфортные и современные города</w:t>
      </w:r>
    </w:p>
    <w:bookmarkEnd w:id="236"/>
    <w:bookmarkStart w:name="z271" w:id="237"/>
    <w:p>
      <w:pPr>
        <w:spacing w:after="0"/>
        <w:ind w:left="0"/>
        <w:jc w:val="both"/>
      </w:pPr>
      <w:r>
        <w:rPr>
          <w:rFonts w:ascii="Times New Roman"/>
          <w:b w:val="false"/>
          <w:i w:val="false"/>
          <w:color w:val="000000"/>
          <w:sz w:val="28"/>
        </w:rPr>
        <w:t>
      Процесс развития городов будет сопровождаться реализацией системных мер по планированию развития населенных пунктов и поддержке строительства арендного жилья. При этом важно стимулировать, в том числе налоговыми мерами, привлечение частных инвестиций в строительство арендного жилья и "выход из тени" частных арендодателей, развитие сервисов, расширение и модернизацию индустриальной, транспортной, инженерной и социальной инфраструктуры (в том числе предусмотренной в рамках национального инфраструктурного плана), а также поддержание экологических стандартов.</w:t>
      </w:r>
    </w:p>
    <w:bookmarkEnd w:id="237"/>
    <w:bookmarkStart w:name="z272" w:id="23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крупных городских агломераций</w:t>
      </w:r>
      <w:r>
        <w:rPr>
          <w:rFonts w:ascii="Times New Roman"/>
          <w:b w:val="false"/>
          <w:i w:val="false"/>
          <w:color w:val="000000"/>
          <w:sz w:val="28"/>
        </w:rPr>
        <w:t>. Планируется создание единого инфраструктурного каркаса, а также ситуационных центров, охватывающих всю территорию агломерации. В целях обеспечения связи между городами и пригородными зонами будут интегрированы системы пригородного транспорта, центры агломераций предполагается соединить по "лучевому" принципу с прилегающими населенными пунктами. Все это потребует предоставления центрам агломераций возможностей (в том числе в рамках бюджетного регулирования) в финансировании транспортной, инженерной и социальной инфраструктуры в пригородных зонах за счет собственного бюджета.</w:t>
      </w:r>
    </w:p>
    <w:bookmarkEnd w:id="238"/>
    <w:bookmarkStart w:name="z273" w:id="239"/>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жилищных условий в городах</w:t>
      </w:r>
      <w:r>
        <w:rPr>
          <w:rFonts w:ascii="Times New Roman"/>
          <w:b w:val="false"/>
          <w:i w:val="false"/>
          <w:color w:val="000000"/>
          <w:sz w:val="28"/>
        </w:rPr>
        <w:t>. Запланирован полный переход на модель строительства жилья полноценными микрорайонами одновременно с необходимой инфраструктурой, школами, детскими садами, медицинскими пунктами и коммерческими объектами с последующей эксплуатацией и внедрением обязательных стандартов комплексной застройки территорий.</w:t>
      </w:r>
    </w:p>
    <w:bookmarkEnd w:id="239"/>
    <w:bookmarkStart w:name="z274" w:id="240"/>
    <w:p>
      <w:pPr>
        <w:spacing w:after="0"/>
        <w:ind w:left="0"/>
        <w:jc w:val="both"/>
      </w:pPr>
      <w:r>
        <w:rPr>
          <w:rFonts w:ascii="Times New Roman"/>
          <w:b w:val="false"/>
          <w:i w:val="false"/>
          <w:color w:val="000000"/>
          <w:sz w:val="28"/>
        </w:rPr>
        <w:t>
      Предполагается закрепление механизмов реновации жилья, в том числе посредством ГЧП. В каждом регионе страны планируется запуск региональных программ реновации ветхого жилья, где особое внимание будет уделено энергоэффективности и развитию дворовых территорий. Предусматривается использование возможностей применения механизма долевого строительства в программах реновации, в соответствии с которым владельцы ветхого жилья будут признаны дольщиками строящегося жилого объекта.</w:t>
      </w:r>
    </w:p>
    <w:bookmarkEnd w:id="240"/>
    <w:bookmarkStart w:name="z275" w:id="241"/>
    <w:p>
      <w:pPr>
        <w:spacing w:after="0"/>
        <w:ind w:left="0"/>
        <w:jc w:val="both"/>
      </w:pPr>
      <w:r>
        <w:rPr>
          <w:rFonts w:ascii="Times New Roman"/>
          <w:b w:val="false"/>
          <w:i w:val="false"/>
          <w:color w:val="000000"/>
          <w:sz w:val="28"/>
        </w:rPr>
        <w:t>
      Планируется дальнейшая реализация программы "7-20-25" до 2029 года. При этом для снижения проинфляционного давления на экономику и повышения эффективности денежно-кредитной политики ежегодный бюджет программы будет ограничен 100 млрд тенге.</w:t>
      </w:r>
    </w:p>
    <w:bookmarkEnd w:id="241"/>
    <w:bookmarkStart w:name="z276" w:id="242"/>
    <w:p>
      <w:pPr>
        <w:spacing w:after="0"/>
        <w:ind w:left="0"/>
        <w:jc w:val="both"/>
      </w:pPr>
      <w:r>
        <w:rPr>
          <w:rFonts w:ascii="Times New Roman"/>
          <w:b w:val="false"/>
          <w:i w:val="false"/>
          <w:color w:val="000000"/>
          <w:sz w:val="28"/>
        </w:rPr>
        <w:t>
      Комплексность реформ подкрепится решением острых вопросов жилищного фонда, включая проблемы долевого строительства, незаконной и точечной застройки. При этом в рамках данной работы предусмотрены реформы по управлению многоквартирными жилыми домами за счет усиления полномочий органов управления, а также меры по сохранению в надлежащем состоянии жилищного фонда, в том числе за счет капитального ремонта общего имущества объектов кондоминиума, фасадов и кровли на возвратной основе.</w:t>
      </w:r>
    </w:p>
    <w:bookmarkEnd w:id="242"/>
    <w:bookmarkStart w:name="z277" w:id="24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3. Доступ</w:t>
      </w:r>
      <w:r>
        <w:rPr>
          <w:rFonts w:ascii="Times New Roman"/>
          <w:b w:val="false"/>
          <w:i w:val="false"/>
          <w:color w:val="000000"/>
          <w:sz w:val="28"/>
        </w:rPr>
        <w:t xml:space="preserve"> </w:t>
      </w:r>
      <w:r>
        <w:rPr>
          <w:rFonts w:ascii="Times New Roman"/>
          <w:b/>
          <w:i w:val="false"/>
          <w:color w:val="000000"/>
          <w:sz w:val="28"/>
        </w:rPr>
        <w:t>к инфраструктуре и услугам в</w:t>
      </w:r>
      <w:r>
        <w:rPr>
          <w:rFonts w:ascii="Times New Roman"/>
          <w:b w:val="false"/>
          <w:i w:val="false"/>
          <w:color w:val="000000"/>
          <w:sz w:val="28"/>
        </w:rPr>
        <w:t xml:space="preserve"> </w:t>
      </w:r>
      <w:r>
        <w:rPr>
          <w:rFonts w:ascii="Times New Roman"/>
          <w:b/>
          <w:i w:val="false"/>
          <w:color w:val="000000"/>
          <w:sz w:val="28"/>
        </w:rPr>
        <w:t>сельской</w:t>
      </w:r>
      <w:r>
        <w:rPr>
          <w:rFonts w:ascii="Times New Roman"/>
          <w:b w:val="false"/>
          <w:i w:val="false"/>
          <w:color w:val="000000"/>
          <w:sz w:val="28"/>
        </w:rPr>
        <w:t xml:space="preserve"> </w:t>
      </w:r>
      <w:r>
        <w:rPr>
          <w:rFonts w:ascii="Times New Roman"/>
          <w:b/>
          <w:i w:val="false"/>
          <w:color w:val="000000"/>
          <w:sz w:val="28"/>
        </w:rPr>
        <w:t>местности на базе опорных сел</w:t>
      </w:r>
    </w:p>
    <w:bookmarkEnd w:id="243"/>
    <w:bookmarkStart w:name="z278" w:id="24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доступа к инфраструктуре в селах</w:t>
      </w:r>
      <w:r>
        <w:rPr>
          <w:rFonts w:ascii="Times New Roman"/>
          <w:b w:val="false"/>
          <w:i w:val="false"/>
          <w:color w:val="000000"/>
          <w:sz w:val="28"/>
        </w:rPr>
        <w:t>. В целом из 6,2 тыс. СНП в стране имеется 1,2 тыс. сельских кластеров (включающих 1,2 тыс. опорных сел и 2,3 тыс. спутниковых сел, всего 3,5 тыс. СНП), в которых проживает 90% сельского населения страны. Данные 3,5 тыс. опорных и спутниковых сел будут обеспечены всем спектром государственных услуг и социальных благ в соответствии с параметрами Системы региональных стандартов.</w:t>
      </w:r>
    </w:p>
    <w:bookmarkEnd w:id="244"/>
    <w:bookmarkStart w:name="z279" w:id="245"/>
    <w:p>
      <w:pPr>
        <w:spacing w:after="0"/>
        <w:ind w:left="0"/>
        <w:jc w:val="both"/>
      </w:pPr>
      <w:r>
        <w:rPr>
          <w:rFonts w:ascii="Times New Roman"/>
          <w:b w:val="false"/>
          <w:i w:val="false"/>
          <w:color w:val="000000"/>
          <w:sz w:val="28"/>
        </w:rPr>
        <w:t>
      В рамках данной работы в первую очередь необходимо повысить доступность объектов жилищно-коммунального хозяйства (далее - ЖКХ) (объекты водоснабжения, канализации, системы газо-, тепло-, электроснабжения).</w:t>
      </w:r>
    </w:p>
    <w:bookmarkEnd w:id="245"/>
    <w:bookmarkStart w:name="z280" w:id="246"/>
    <w:p>
      <w:pPr>
        <w:spacing w:after="0"/>
        <w:ind w:left="0"/>
        <w:jc w:val="both"/>
      </w:pPr>
      <w:r>
        <w:rPr>
          <w:rFonts w:ascii="Times New Roman"/>
          <w:b w:val="false"/>
          <w:i w:val="false"/>
          <w:color w:val="000000"/>
          <w:sz w:val="28"/>
        </w:rPr>
        <w:t>
      Также планируется повышение доступности инженерно-транспортной инфраструктуры, включающей внутрипоселковые, внутрисельские дороги и подъездные дороги. СНП будут связаны с центрами сельских округов и районными центрами дорогами с твердым покрытием. Все сельское население страны будет обеспечено Интернетом.</w:t>
      </w:r>
    </w:p>
    <w:bookmarkEnd w:id="246"/>
    <w:bookmarkStart w:name="z281" w:id="24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"умных" населенных пунктов</w:t>
      </w:r>
    </w:p>
    <w:bookmarkEnd w:id="247"/>
    <w:bookmarkStart w:name="z282" w:id="248"/>
    <w:p>
      <w:pPr>
        <w:spacing w:after="0"/>
        <w:ind w:left="0"/>
        <w:jc w:val="both"/>
      </w:pPr>
      <w:r>
        <w:rPr>
          <w:rFonts w:ascii="Times New Roman"/>
          <w:b w:val="false"/>
          <w:i w:val="false"/>
          <w:color w:val="000000"/>
          <w:sz w:val="28"/>
        </w:rPr>
        <w:t>
      Во всех городах Казахстана будет реализована концепция "Smart City" на основе эталонного стандарта "умных городов", учитывающего опыт Астаны и других населенных пунктов и предусматривающего применение высокотехнологичных решений для рационального использования ресурсов и управления ими. Цифровые технологии будут внедрены в сферы жизнедеятельности городов, включая образование, транспорт и логистику, дорожную инфраструктуру, ЖКХ, здравоохранение, безопасность, социальную сферу, управление городом, туризм, культуру и экологию. Дальнейшим шагом станет распространение концепции "Smart City" и на другие виды населенных пунктов.</w:t>
      </w:r>
    </w:p>
    <w:bookmarkEnd w:id="248"/>
    <w:bookmarkStart w:name="z283" w:id="249"/>
    <w:p>
      <w:pPr>
        <w:spacing w:after="0"/>
        <w:ind w:left="0"/>
        <w:jc w:val="both"/>
      </w:pPr>
      <w:r>
        <w:rPr>
          <w:rFonts w:ascii="Times New Roman"/>
          <w:b w:val="false"/>
          <w:i w:val="false"/>
          <w:color w:val="000000"/>
          <w:sz w:val="28"/>
        </w:rPr>
        <w:t>
      В целях автоматизации всех процессов строительства с обеспечением должного мониторинга разработаны цифровые платформы для планирования, проектирования и строительства. Более того, до 2029 года планируются систематизация данных платформ через "единое окно", оцифровка и интеграция всех государственных услуг, что обеспечит прослеживаемость процессов от планирования до ввода в эксплуатацию объектов строительства. Кроме того, будут оцифрованы архитектурный, градостроительный и строительный каталоги.</w:t>
      </w:r>
    </w:p>
    <w:bookmarkEnd w:id="249"/>
    <w:bookmarkStart w:name="z284" w:id="25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Развитие инфраструктуры по обеспечению безопасности в чрезвычайных ситуациях</w:t>
      </w:r>
    </w:p>
    <w:bookmarkEnd w:id="250"/>
    <w:bookmarkStart w:name="z285" w:id="251"/>
    <w:p>
      <w:pPr>
        <w:spacing w:after="0"/>
        <w:ind w:left="0"/>
        <w:jc w:val="both"/>
      </w:pPr>
      <w:r>
        <w:rPr>
          <w:rFonts w:ascii="Times New Roman"/>
          <w:b w:val="false"/>
          <w:i w:val="false"/>
          <w:color w:val="000000"/>
          <w:sz w:val="28"/>
        </w:rPr>
        <w:t>
      Качество инфраструктуры гражданской защиты играет важную роль в обеспечении безопасности в чрезвычайных ситуациях. Государство продолжит работу по предупреждению ЧС и обеспечению эффективной ликвидации их последствий, развитию системы экстренной медицинской и психологической помощи населению, находящемуся в зоне бедствий, обучению и системной подготовке граждан к ЧС и вовлечению частных организаций в обеспечение безопасности. Особое внимание будет уделено обеспечению готовности зданий к ЧС, развитию противопожарной и водозащитной инфраструктуры.</w:t>
      </w:r>
    </w:p>
    <w:bookmarkEnd w:id="251"/>
    <w:p>
      <w:pPr>
        <w:spacing w:after="0"/>
        <w:ind w:left="0"/>
        <w:jc w:val="both"/>
      </w:pPr>
      <w:r>
        <w:rPr>
          <w:rFonts w:ascii="Times New Roman"/>
          <w:b/>
          <w:i w:val="false"/>
          <w:color w:val="000000"/>
          <w:sz w:val="28"/>
        </w:rPr>
        <w:t>2. КРЕПКИЙ ФУНДАМЕНТ ЭКОНОМИКИ</w:t>
      </w:r>
    </w:p>
    <w:p>
      <w:pPr>
        <w:spacing w:after="0"/>
        <w:ind w:left="0"/>
        <w:jc w:val="both"/>
      </w:pPr>
      <w:r>
        <w:rPr>
          <w:rFonts w:ascii="Times New Roman"/>
          <w:b/>
          <w:i w:val="false"/>
          <w:color w:val="000000"/>
          <w:sz w:val="28"/>
        </w:rPr>
        <w:t>2.1. МИНЕРАЛЬНО-СЫРЬЕВАЯ БАЗА: НЕФТЬ И ГАЗ</w:t>
      </w:r>
    </w:p>
    <w:bookmarkStart w:name="z288" w:id="252"/>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52"/>
    <w:bookmarkStart w:name="z289" w:id="253"/>
    <w:p>
      <w:pPr>
        <w:spacing w:after="0"/>
        <w:ind w:left="0"/>
        <w:jc w:val="both"/>
      </w:pPr>
      <w:r>
        <w:rPr>
          <w:rFonts w:ascii="Times New Roman"/>
          <w:b w:val="false"/>
          <w:i w:val="false"/>
          <w:color w:val="000000"/>
          <w:sz w:val="28"/>
        </w:rPr>
        <w:t>
      Добыча нефти и газа сохраняет высокий вклад в экономику Казахстана: по итогам 2022 года валовая добавленная стоимость (далее - ВДС) отрасли составила 11% ВВП, при этом доля сектора в общем экспорте товаров превышает 50%, в чистом притоке инвестиций - почти 40%.</w:t>
      </w:r>
    </w:p>
    <w:bookmarkEnd w:id="253"/>
    <w:bookmarkStart w:name="z290" w:id="254"/>
    <w:p>
      <w:pPr>
        <w:spacing w:after="0"/>
        <w:ind w:left="0"/>
        <w:jc w:val="both"/>
      </w:pPr>
      <w:r>
        <w:rPr>
          <w:rFonts w:ascii="Times New Roman"/>
          <w:b w:val="false"/>
          <w:i w:val="false"/>
          <w:color w:val="000000"/>
          <w:sz w:val="28"/>
        </w:rPr>
        <w:t>
      Ежегодно перспективы добычи нефти в Казахстане не оправдывают ожиданий. На сегодняшний день, согласно актуальному прогнозу, с учетом модернизации производств на крупных месторождениях пиковый уровень добычи составит 104 млн тонн до 2030 года. Среди действующих крупных месторождений основное снижение добычи прогнозируется по Кашагану: в 2021 году его ожидаемый объем пиковой добычи сократился на 40% относительно прогноза 2017 года.</w:t>
      </w:r>
    </w:p>
    <w:bookmarkEnd w:id="254"/>
    <w:bookmarkStart w:name="z291" w:id="255"/>
    <w:p>
      <w:pPr>
        <w:spacing w:after="0"/>
        <w:ind w:left="0"/>
        <w:jc w:val="both"/>
      </w:pPr>
      <w:r>
        <w:rPr>
          <w:rFonts w:ascii="Times New Roman"/>
          <w:b w:val="false"/>
          <w:i w:val="false"/>
          <w:color w:val="000000"/>
          <w:sz w:val="28"/>
        </w:rPr>
        <w:t xml:space="preserve">
      </w:t>
      </w:r>
      <w:r>
        <w:rPr>
          <w:rFonts w:ascii="Times New Roman"/>
          <w:b/>
          <w:i w:val="false"/>
          <w:color w:val="000000"/>
          <w:sz w:val="28"/>
        </w:rPr>
        <w:t>Истощение прочих месторождений</w:t>
      </w:r>
    </w:p>
    <w:bookmarkEnd w:id="255"/>
    <w:bookmarkStart w:name="z292" w:id="256"/>
    <w:p>
      <w:pPr>
        <w:spacing w:after="0"/>
        <w:ind w:left="0"/>
        <w:jc w:val="both"/>
      </w:pPr>
      <w:r>
        <w:rPr>
          <w:rFonts w:ascii="Times New Roman"/>
          <w:b w:val="false"/>
          <w:i w:val="false"/>
          <w:color w:val="000000"/>
          <w:sz w:val="28"/>
        </w:rPr>
        <w:t>
      Значительная часть прочих месторождений находится на этапе истощения. Например, согласно прогнозу международных экспертов, по ряду крупнейших компаний группы АО НК "КазМунайГаз" ожидается снижение добычи на 15-30% к 2030 году. В этих условиях важными являются вопросы устойчивого снижения добычи и закрытия истощающихся месторождений как с экологической, так и с социальной стороны. Более того, в среднесрочной перспективе возможен риск нехватки нефтяного сырья вдобавок к ожидаемому в 2024 - 2025 годах дефициту газа, поскольку локальный спрос удовлетворяется именно группой месторождений АО НК "КазМунайГаз".</w:t>
      </w:r>
    </w:p>
    <w:bookmarkEnd w:id="256"/>
    <w:bookmarkStart w:name="z293" w:id="257"/>
    <w:p>
      <w:pPr>
        <w:spacing w:after="0"/>
        <w:ind w:left="0"/>
        <w:jc w:val="both"/>
      </w:pPr>
      <w:r>
        <w:rPr>
          <w:rFonts w:ascii="Times New Roman"/>
          <w:b w:val="false"/>
          <w:i w:val="false"/>
          <w:color w:val="000000"/>
          <w:sz w:val="28"/>
        </w:rPr>
        <w:t xml:space="preserve">
      </w:t>
      </w:r>
      <w:r>
        <w:rPr>
          <w:rFonts w:ascii="Times New Roman"/>
          <w:b/>
          <w:i w:val="false"/>
          <w:color w:val="000000"/>
          <w:sz w:val="28"/>
        </w:rPr>
        <w:t>Низкая геологоразведочная активность</w:t>
      </w:r>
    </w:p>
    <w:bookmarkEnd w:id="257"/>
    <w:bookmarkStart w:name="z294" w:id="258"/>
    <w:p>
      <w:pPr>
        <w:spacing w:after="0"/>
        <w:ind w:left="0"/>
        <w:jc w:val="both"/>
      </w:pPr>
      <w:r>
        <w:rPr>
          <w:rFonts w:ascii="Times New Roman"/>
          <w:b w:val="false"/>
          <w:i w:val="false"/>
          <w:color w:val="000000"/>
          <w:sz w:val="28"/>
        </w:rPr>
        <w:t>
      Международные эксперты отмечают, что в период с 2017 по 2022 год прогноз добычи на месторождениях в стадии разработки и разведки также снизился с 65 до 6 млн тонн. Привлекательность разведки и разработки новых месторождений ограничена ценообразованием поставок сырья на внутренний рынок.</w:t>
      </w:r>
    </w:p>
    <w:bookmarkEnd w:id="258"/>
    <w:bookmarkStart w:name="z295" w:id="259"/>
    <w:p>
      <w:pPr>
        <w:spacing w:after="0"/>
        <w:ind w:left="0"/>
        <w:jc w:val="both"/>
      </w:pPr>
      <w:r>
        <w:rPr>
          <w:rFonts w:ascii="Times New Roman"/>
          <w:b w:val="false"/>
          <w:i w:val="false"/>
          <w:color w:val="000000"/>
          <w:sz w:val="28"/>
        </w:rPr>
        <w:t>
      Помимо ограничений ресурсной базы риск дефицита сырья усугубляется ускоренными темпами роста потребления топлива в Казахстане. Среднее подушевое потребление дизельного топлива (около 30% спроса на нефтепродукты) значительно превышает показатели соседних стран</w:t>
      </w:r>
      <w:r>
        <w:rPr>
          <w:rFonts w:ascii="Times New Roman"/>
          <w:b w:val="false"/>
          <w:i w:val="false"/>
          <w:color w:val="000000"/>
          <w:vertAlign w:val="superscript"/>
        </w:rPr>
        <w:t>4</w:t>
      </w:r>
      <w:r>
        <w:rPr>
          <w:rFonts w:ascii="Times New Roman"/>
          <w:b w:val="false"/>
          <w:i w:val="false"/>
          <w:color w:val="000000"/>
          <w:sz w:val="28"/>
        </w:rPr>
        <w:t>. Более того, цены на топливо в Казахстане являются одними из самых низких в регионе и мире и создание общих рынков нефти, газа и нефтепродуктов в рамках ЕАЭС в 2025 году может привести к перетоку горюче-смазочных материалов в соседние страны, что еще больше снизит внутреннюю обеспеченность топливом. По оценкам аналитической компании IHS Markit, при сохранении текущей траектории потребления уже к 2025 году спрос на нефтепродукты составит 19 млн тонн переработанной нефти и превысит мощности нефтеперерабатывающих заводов (далее - НПЗ).</w:t>
      </w:r>
    </w:p>
    <w:bookmarkEnd w:id="259"/>
    <w:bookmarkStart w:name="z296" w:id="260"/>
    <w:p>
      <w:pPr>
        <w:spacing w:after="0"/>
        <w:ind w:left="0"/>
        <w:jc w:val="both"/>
      </w:pPr>
      <w:r>
        <w:rPr>
          <w:rFonts w:ascii="Times New Roman"/>
          <w:b w:val="false"/>
          <w:i w:val="false"/>
          <w:color w:val="000000"/>
          <w:sz w:val="28"/>
        </w:rPr>
        <w:t>
      Наблюдается ряд возможностей для развития дополнительных коридоров поставок по транскаспийскому и китайскому направлениям. Текущая перевалка нефти через порт Актау составляет 2,2 млн тонн в год при технической мощности порта в 7 млн тонн в год (свободные объемы - 4,8 млн тонн). По нефтепроводу Атасу - Алашанькоу прокачивается порядка 11 млн тонн в год, включая 10 млн тонн транзита. При этом техническая возможность данного нефтепровода составляет порядка 17,5 млн тонн в год (свободные объемы - 6,5 млн тонн).</w:t>
      </w:r>
    </w:p>
    <w:bookmarkEnd w:id="260"/>
    <w:bookmarkStart w:name="z297" w:id="261"/>
    <w:p>
      <w:pPr>
        <w:spacing w:after="0"/>
        <w:ind w:left="0"/>
        <w:jc w:val="both"/>
      </w:pPr>
      <w:r>
        <w:rPr>
          <w:rFonts w:ascii="Times New Roman"/>
          <w:b w:val="false"/>
          <w:i w:val="false"/>
          <w:color w:val="000000"/>
          <w:sz w:val="28"/>
        </w:rPr>
        <w:t>
      В газотранспортной системе имеющиеся ограничения преимущественно касаются транспортировки для внутреннего потребления. Наблюдается высокая изношенность и загрузка ряда ключевых объектов инфраструктуры, например, газопровода Бейнеу - Бозой - Шымкент и подземных хранилищ газа.</w:t>
      </w:r>
    </w:p>
    <w:bookmarkEnd w:id="261"/>
    <w:bookmarkStart w:name="z298" w:id="26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62"/>
    <w:bookmarkStart w:name="z299" w:id="263"/>
    <w:p>
      <w:pPr>
        <w:spacing w:after="0"/>
        <w:ind w:left="0"/>
        <w:jc w:val="both"/>
      </w:pPr>
      <w:r>
        <w:rPr>
          <w:rFonts w:ascii="Times New Roman"/>
          <w:b w:val="false"/>
          <w:i w:val="false"/>
          <w:color w:val="000000"/>
          <w:sz w:val="28"/>
        </w:rPr>
        <w:t>
      К 2029 году нефтегазовая отрасль сохранит свою значимость в структуре экономики, чему будет способствовать рост объемов добычи нефти, а также значительное увеличение объемов производства товарного газа.</w:t>
      </w:r>
    </w:p>
    <w:bookmarkEnd w:id="263"/>
    <w:bookmarkStart w:name="z300" w:id="26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Снижение рисков по проектам расширения и увеличение газоперерабатывающих мощностей на трех месторождениях-гигантах</w:t>
      </w:r>
    </w:p>
    <w:bookmarkEnd w:id="264"/>
    <w:bookmarkStart w:name="z301" w:id="265"/>
    <w:p>
      <w:pPr>
        <w:spacing w:after="0"/>
        <w:ind w:left="0"/>
        <w:jc w:val="both"/>
      </w:pPr>
      <w:r>
        <w:rPr>
          <w:rFonts w:ascii="Times New Roman"/>
          <w:b w:val="false"/>
          <w:i w:val="false"/>
          <w:color w:val="000000"/>
          <w:sz w:val="28"/>
        </w:rPr>
        <w:t>
      Планируемые проекты расширения на Тенгизе (проект будущего расширения, проект управления устьевым давлением) и Карачаганаке (увеличение обратной закачки газа) имеют относительно низкие риски. Высокие инвестиции, включая строительство новых крупных объектов, обуславливают риски задержки или заморозки проекта освоения на Кашагане.</w:t>
      </w:r>
    </w:p>
    <w:bookmarkEnd w:id="265"/>
    <w:p>
      <w:pPr>
        <w:spacing w:after="0"/>
        <w:ind w:left="0"/>
        <w:jc w:val="both"/>
      </w:pPr>
      <w:bookmarkStart w:name="z302" w:id="266"/>
      <w:r>
        <w:rPr>
          <w:rFonts w:ascii="Times New Roman"/>
          <w:b w:val="false"/>
          <w:i w:val="false"/>
          <w:color w:val="000000"/>
          <w:sz w:val="28"/>
        </w:rPr>
        <w:t>
      _________________</w:t>
      </w:r>
    </w:p>
    <w:bookmarkEnd w:id="266"/>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Казахстан - 370 литров, Россия - 225 литров, Кыргызстан - 98 литров, Узбекистан - 44 литра дизельного топлива в год на человека.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67"/>
    <w:p>
      <w:pPr>
        <w:spacing w:after="0"/>
        <w:ind w:left="0"/>
        <w:jc w:val="both"/>
      </w:pPr>
      <w:r>
        <w:rPr>
          <w:rFonts w:ascii="Times New Roman"/>
          <w:b w:val="false"/>
          <w:i w:val="false"/>
          <w:color w:val="000000"/>
          <w:sz w:val="28"/>
        </w:rPr>
        <w:t>
      На среднесрочный период первостепенным является подтверждение инвестиций North Caspian Operating Company для доведения к 2030 году объемов добычи до 700 тыс. баррелей в день.</w:t>
      </w:r>
    </w:p>
    <w:bookmarkEnd w:id="267"/>
    <w:bookmarkStart w:name="z304" w:id="268"/>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газоперерабатывающих мощностей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Кашагане</w:t>
      </w:r>
      <w:r>
        <w:rPr>
          <w:rFonts w:ascii="Times New Roman"/>
          <w:b w:val="false"/>
          <w:i w:val="false"/>
          <w:color w:val="000000"/>
          <w:sz w:val="28"/>
        </w:rPr>
        <w:t xml:space="preserve"> </w:t>
      </w:r>
      <w:r>
        <w:rPr>
          <w:rFonts w:ascii="Times New Roman"/>
          <w:b/>
          <w:i w:val="false"/>
          <w:color w:val="000000"/>
          <w:sz w:val="28"/>
        </w:rPr>
        <w:t>и Карачаганаке</w:t>
      </w:r>
      <w:r>
        <w:rPr>
          <w:rFonts w:ascii="Times New Roman"/>
          <w:b w:val="false"/>
          <w:i w:val="false"/>
          <w:color w:val="000000"/>
          <w:sz w:val="28"/>
        </w:rPr>
        <w:t>. На Кашагане в процессе строительства находится проект по переработке газа мощностью 1 млрд кубометров. Также к 2030 году ожидается запуск газоперерабатывающего завода (далее - ГПЗ) мощностью 2,5 млрд кубометров газа. На Карачаганакском месторождении к 2028 году ожидается ввод в эксплуатацию нового ГПЗ мощностью 4 млрд кубометров газа в год.</w:t>
      </w:r>
    </w:p>
    <w:bookmarkEnd w:id="268"/>
    <w:bookmarkStart w:name="z305" w:id="26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привлекательности инвестиций в геологоразведку и разработку новых месторождений</w:t>
      </w:r>
    </w:p>
    <w:bookmarkEnd w:id="269"/>
    <w:bookmarkStart w:name="z306" w:id="270"/>
    <w:p>
      <w:pPr>
        <w:spacing w:after="0"/>
        <w:ind w:left="0"/>
        <w:jc w:val="both"/>
      </w:pPr>
      <w:r>
        <w:rPr>
          <w:rFonts w:ascii="Times New Roman"/>
          <w:b w:val="false"/>
          <w:i w:val="false"/>
          <w:color w:val="000000"/>
          <w:sz w:val="28"/>
        </w:rPr>
        <w:t>
      В среднесрочной перспективе планируется проведение работ по стимулированию роста добычи нефти, в том числе за счет пересмотра фискального режима в отношении операторов, осуществляющих поисковые работы по углеводородному сырью.</w:t>
      </w:r>
    </w:p>
    <w:bookmarkEnd w:id="270"/>
    <w:bookmarkStart w:name="z307" w:id="27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Диверсификация экспортных коридоров и обеспечение инфраструктуры для внутренних поставок</w:t>
      </w:r>
    </w:p>
    <w:bookmarkEnd w:id="271"/>
    <w:bookmarkStart w:name="z308" w:id="27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дополнительных экспортных коридоров</w:t>
      </w:r>
      <w:r>
        <w:rPr>
          <w:rFonts w:ascii="Times New Roman"/>
          <w:b w:val="false"/>
          <w:i w:val="false"/>
          <w:color w:val="000000"/>
          <w:sz w:val="28"/>
        </w:rPr>
        <w:t>. Ключевым дополнительным экспортным маршрутом является срединный международный транспортный коридор через Каспий. Также в случае прекращения транспортировки нефти по системе Каспийского трубопроводного консорциума могут быть задействованы свободные мощности нефтепроводов Атырау - Самара и Казахстан - Китай.</w:t>
      </w:r>
    </w:p>
    <w:bookmarkEnd w:id="272"/>
    <w:bookmarkStart w:name="z309" w:id="273"/>
    <w:p>
      <w:pPr>
        <w:spacing w:after="0"/>
        <w:ind w:left="0"/>
        <w:jc w:val="both"/>
      </w:pPr>
      <w:r>
        <w:rPr>
          <w:rFonts w:ascii="Times New Roman"/>
          <w:b w:val="false"/>
          <w:i w:val="false"/>
          <w:color w:val="000000"/>
          <w:sz w:val="28"/>
        </w:rPr>
        <w:t>
      В среднесрочной перспективе планируется увеличение транскаспийских перевозок нефти в пределах существующих мощностей порта Актау (до 7 млн тонн в год). Также будет рассмотрена возможность реализации проектов по строительству нефтепровода Ескене - Курык, морских терминалов на казахстанском и азербайджанском побережьях Каспийского моря, а также специального крупнотоннажного танкерного флота для дальнейшего увеличения транскаспийских перевозок до 20 млн тонн в год и более.</w:t>
      </w:r>
    </w:p>
    <w:bookmarkEnd w:id="273"/>
    <w:bookmarkStart w:name="z310" w:id="274"/>
    <w:p>
      <w:pPr>
        <w:spacing w:after="0"/>
        <w:ind w:left="0"/>
        <w:jc w:val="both"/>
      </w:pPr>
      <w:r>
        <w:rPr>
          <w:rFonts w:ascii="Times New Roman"/>
          <w:b w:val="false"/>
          <w:i w:val="false"/>
          <w:color w:val="000000"/>
          <w:sz w:val="28"/>
        </w:rPr>
        <w:t>
      С 2024 года также будет увеличен импорт казахстанской нефти по нефтепроводу Атасу - Алашанькоу до 2 млн тонн в год. При дальнейшем росте поставок будет рассмотрена необходимость расширения пропускной способности питающих нефтепроводов Атырау - Кенкияк и Кенкияк - Кумколь.</w:t>
      </w:r>
    </w:p>
    <w:bookmarkEnd w:id="274"/>
    <w:bookmarkStart w:name="z311" w:id="275"/>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инфраструктуры для внутренних поставок газа</w:t>
      </w:r>
      <w:r>
        <w:rPr>
          <w:rFonts w:ascii="Times New Roman"/>
          <w:b w:val="false"/>
          <w:i w:val="false"/>
          <w:color w:val="000000"/>
          <w:sz w:val="28"/>
        </w:rPr>
        <w:t>. Развитие газотранспортной системы и дальнейшая газификация страны, в том числе газификация северо-восточных регионов, являются ключевыми задачами, однако сроки реализации должны быть синхронизированы с наличием достаточной ресурсной базы газа. Для снижения рисков по поставкам нефтепродуктов при остановке НПЗ необходимо определить оптимальный объем резервов и при необходимости расширить доступные мощности хранения.</w:t>
      </w:r>
    </w:p>
    <w:bookmarkEnd w:id="275"/>
    <w:bookmarkStart w:name="z312" w:id="27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Контроль спроса на энергоносители через реформу ценообразования</w:t>
      </w:r>
    </w:p>
    <w:bookmarkEnd w:id="276"/>
    <w:bookmarkStart w:name="z313" w:id="277"/>
    <w:p>
      <w:pPr>
        <w:spacing w:after="0"/>
        <w:ind w:left="0"/>
        <w:jc w:val="both"/>
      </w:pPr>
      <w:r>
        <w:rPr>
          <w:rFonts w:ascii="Times New Roman"/>
          <w:b w:val="false"/>
          <w:i w:val="false"/>
          <w:color w:val="000000"/>
          <w:sz w:val="28"/>
        </w:rPr>
        <w:t>
      Обеспечение растущего спроса на топливо потребует реализации комплекса мер по повышению эффективности и прозрачности работы действующих НПЗ (в том числе с применением цифровых решений), поэтапному достижению безубыточности поставок газа на внутреннем рынке, а также контролю спроса на энергоносители. Важнейшими элементами станут реформа ценообразования на газ и нефтепродукты и переход к адресному субсидированию.</w:t>
      </w:r>
    </w:p>
    <w:bookmarkEnd w:id="277"/>
    <w:bookmarkStart w:name="z314" w:id="278"/>
    <w:p>
      <w:pPr>
        <w:spacing w:after="0"/>
        <w:ind w:left="0"/>
        <w:jc w:val="both"/>
      </w:pPr>
      <w:r>
        <w:rPr>
          <w:rFonts w:ascii="Times New Roman"/>
          <w:b w:val="false"/>
          <w:i w:val="false"/>
          <w:color w:val="000000"/>
          <w:sz w:val="28"/>
        </w:rPr>
        <w:t>
      Сделаны шаги по снижению дисбалансов: определены цены на газ на период с 2023 по 2028 год, увеличены цены на нефтепродукты. При этом для обеспечения предсказуемости изменения тарифов будет сформирован план по дальнейшему развитию ценообразования на нефтепродукты на среднесрочный период аналогично плану по товарному газу и с учетом формирования с 2025 года общих рынков энергоресурсов ЕАЭС.</w:t>
      </w:r>
    </w:p>
    <w:bookmarkEnd w:id="278"/>
    <w:bookmarkStart w:name="z315" w:id="279"/>
    <w:p>
      <w:pPr>
        <w:spacing w:after="0"/>
        <w:ind w:left="0"/>
        <w:jc w:val="both"/>
      </w:pPr>
      <w:r>
        <w:rPr>
          <w:rFonts w:ascii="Times New Roman"/>
          <w:b w:val="false"/>
          <w:i w:val="false"/>
          <w:color w:val="000000"/>
          <w:sz w:val="28"/>
        </w:rPr>
        <w:t>
      Планомерность повышения цен на газ будет сопровождаться развертыванием механизма адресного субсидирования газа и нефтепродуктов, а также структурированной, четкой и масштабной коммуникационной кампанией для снижения социальных рисков. Соблюдение принципов исключения вмешательства в ценообразование на нефтепродукты и газ также создаст условия для сбалансированного развития данных отраслей, одновременно исключая накопление дисбалансов в ценах на рынках и способствуя более предсказуемой инфляции в целом.</w:t>
      </w:r>
    </w:p>
    <w:bookmarkEnd w:id="279"/>
    <w:p>
      <w:pPr>
        <w:spacing w:after="0"/>
        <w:ind w:left="0"/>
        <w:jc w:val="both"/>
      </w:pPr>
      <w:r>
        <w:rPr>
          <w:rFonts w:ascii="Times New Roman"/>
          <w:b/>
          <w:i w:val="false"/>
          <w:color w:val="000000"/>
          <w:sz w:val="28"/>
        </w:rPr>
        <w:t>2.2. МИНЕРАЛЬНО-СЫРЬЕВАЯ БАЗА: МЕТАЛЛЫ И ПРОЧИЕ ПОЛЕЗНЫЕ ИСКОПАЕМЫЕ</w:t>
      </w:r>
    </w:p>
    <w:bookmarkStart w:name="z317" w:id="28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80"/>
    <w:bookmarkStart w:name="z318" w:id="281"/>
    <w:p>
      <w:pPr>
        <w:spacing w:after="0"/>
        <w:ind w:left="0"/>
        <w:jc w:val="both"/>
      </w:pPr>
      <w:r>
        <w:rPr>
          <w:rFonts w:ascii="Times New Roman"/>
          <w:b w:val="false"/>
          <w:i w:val="false"/>
          <w:color w:val="000000"/>
          <w:sz w:val="28"/>
        </w:rPr>
        <w:t>
      Горно-металлургический комплекс (далее - ГМК) Казахстана - один из ключевых драйверов экономического роста страны: суммарный ВДС добычи металлов, угля, лигнита и прочих твердых полезных ископаемых (далее - ТПИ), а также металлургической промышленности в экономику в 2022 году достиг почти 10%, а в экспорте - более 25%.</w:t>
      </w:r>
    </w:p>
    <w:bookmarkEnd w:id="281"/>
    <w:bookmarkStart w:name="z319" w:id="282"/>
    <w:p>
      <w:pPr>
        <w:spacing w:after="0"/>
        <w:ind w:left="0"/>
        <w:jc w:val="both"/>
      </w:pPr>
      <w:r>
        <w:rPr>
          <w:rFonts w:ascii="Times New Roman"/>
          <w:b w:val="false"/>
          <w:i w:val="false"/>
          <w:color w:val="000000"/>
          <w:sz w:val="28"/>
        </w:rPr>
        <w:t>
      При этом перед ГМК страны стоят ключевые вызовы и возможности, которые должны определить его дальнейшее развитие.</w:t>
      </w:r>
    </w:p>
    <w:bookmarkEnd w:id="282"/>
    <w:bookmarkStart w:name="z320" w:id="283"/>
    <w:p>
      <w:pPr>
        <w:spacing w:after="0"/>
        <w:ind w:left="0"/>
        <w:jc w:val="both"/>
      </w:pPr>
      <w:r>
        <w:rPr>
          <w:rFonts w:ascii="Times New Roman"/>
          <w:b w:val="false"/>
          <w:i w:val="false"/>
          <w:color w:val="000000"/>
          <w:sz w:val="28"/>
        </w:rPr>
        <w:t xml:space="preserve">
      </w:t>
      </w:r>
      <w:r>
        <w:rPr>
          <w:rFonts w:ascii="Times New Roman"/>
          <w:b/>
          <w:i w:val="false"/>
          <w:color w:val="000000"/>
          <w:sz w:val="28"/>
        </w:rPr>
        <w:t>Истощение текущей ресурсной базы и перспективы добычи новых материалов</w:t>
      </w:r>
    </w:p>
    <w:bookmarkEnd w:id="283"/>
    <w:bookmarkStart w:name="z321" w:id="284"/>
    <w:p>
      <w:pPr>
        <w:spacing w:after="0"/>
        <w:ind w:left="0"/>
        <w:jc w:val="both"/>
      </w:pPr>
      <w:r>
        <w:rPr>
          <w:rFonts w:ascii="Times New Roman"/>
          <w:b w:val="false"/>
          <w:i w:val="false"/>
          <w:color w:val="000000"/>
          <w:sz w:val="28"/>
        </w:rPr>
        <w:t>
      Казахстан сталкивается с низким уровнем обеспеченности запасами, подготовленными к разработке</w:t>
      </w:r>
      <w:r>
        <w:rPr>
          <w:rFonts w:ascii="Times New Roman"/>
          <w:b w:val="false"/>
          <w:i w:val="false"/>
          <w:color w:val="000000"/>
          <w:vertAlign w:val="superscript"/>
        </w:rPr>
        <w:t>5</w:t>
      </w:r>
      <w:r>
        <w:rPr>
          <w:rFonts w:ascii="Times New Roman"/>
          <w:b w:val="false"/>
          <w:i w:val="false"/>
          <w:color w:val="000000"/>
          <w:sz w:val="28"/>
        </w:rPr>
        <w:t>, недостаточной восполняемостью резервов, падением среднего содержания в породе и ростом сложности отработки рудных тел.</w:t>
      </w:r>
    </w:p>
    <w:bookmarkEnd w:id="284"/>
    <w:p>
      <w:pPr>
        <w:spacing w:after="0"/>
        <w:ind w:left="0"/>
        <w:jc w:val="both"/>
      </w:pPr>
      <w:bookmarkStart w:name="z322" w:id="285"/>
      <w:r>
        <w:rPr>
          <w:rFonts w:ascii="Times New Roman"/>
          <w:b w:val="false"/>
          <w:i w:val="false"/>
          <w:color w:val="000000"/>
          <w:sz w:val="28"/>
        </w:rPr>
        <w:t>
      _______________________</w:t>
      </w:r>
    </w:p>
    <w:bookmarkEnd w:id="285"/>
    <w:p>
      <w:pPr>
        <w:spacing w:after="0"/>
        <w:ind w:left="0"/>
        <w:jc w:val="both"/>
      </w:pPr>
      <w:r>
        <w:rPr>
          <w:rFonts w:ascii="Times New Roman"/>
          <w:b w:val="false"/>
          <w:i w:val="false"/>
          <w:color w:val="000000"/>
          <w:sz w:val="28"/>
        </w:rPr>
        <w:t>5 Обеспеченность подготовленными запасами меди составляет 10-12 лет; исчерпаны запасы хрома, пригодные для отработки открытым способом; обеспеченность разведанными запасами железа, пригодными для отработки открытым способом, составляет 20 - 25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3" w:id="286"/>
    <w:p>
      <w:pPr>
        <w:spacing w:after="0"/>
        <w:ind w:left="0"/>
        <w:jc w:val="both"/>
      </w:pPr>
      <w:r>
        <w:rPr>
          <w:rFonts w:ascii="Times New Roman"/>
          <w:b w:val="false"/>
          <w:i w:val="false"/>
          <w:color w:val="000000"/>
          <w:sz w:val="28"/>
        </w:rPr>
        <w:t>
      Критическим фактором, влияющим на ситуацию, выступает низкая активность геологоразведочных работ. Проведенная правовая реформа сферы недропользования кардинально изменила ее нормативно-правовую архитектуру, обеспечив более конкурентный доступ к недрам.</w:t>
      </w:r>
    </w:p>
    <w:bookmarkEnd w:id="286"/>
    <w:bookmarkStart w:name="z324" w:id="287"/>
    <w:p>
      <w:pPr>
        <w:spacing w:after="0"/>
        <w:ind w:left="0"/>
        <w:jc w:val="both"/>
      </w:pPr>
      <w:r>
        <w:rPr>
          <w:rFonts w:ascii="Times New Roman"/>
          <w:b w:val="false"/>
          <w:i w:val="false"/>
          <w:color w:val="000000"/>
          <w:sz w:val="28"/>
        </w:rPr>
        <w:t>
      Однако, в настоящее время из доступной для разведки территории страны лицензировано только 16% территории. В 2022 году удельные затраты на геологоразведку в Казахстане составили лишь 63 долл. США/км2, что значительно ниже среднемирового показателя (88 долл. США/км2 по металлам) и показателей стран - лидеров горной промышленности, таких как США, Канада, Австралия (170 - 300 долл. США/км2).</w:t>
      </w:r>
    </w:p>
    <w:bookmarkEnd w:id="287"/>
    <w:bookmarkStart w:name="z325" w:id="288"/>
    <w:p>
      <w:pPr>
        <w:spacing w:after="0"/>
        <w:ind w:left="0"/>
        <w:jc w:val="both"/>
      </w:pPr>
      <w:r>
        <w:rPr>
          <w:rFonts w:ascii="Times New Roman"/>
          <w:b w:val="false"/>
          <w:i w:val="false"/>
          <w:color w:val="000000"/>
          <w:sz w:val="28"/>
        </w:rPr>
        <w:t>
      Помимо недостаточного восполнения существующих запасов страна обладает значительным нереализованным потенциалом</w:t>
      </w:r>
      <w:r>
        <w:rPr>
          <w:rFonts w:ascii="Times New Roman"/>
          <w:b w:val="false"/>
          <w:i w:val="false"/>
          <w:color w:val="000000"/>
          <w:vertAlign w:val="superscript"/>
        </w:rPr>
        <w:t>6</w:t>
      </w:r>
      <w:r>
        <w:rPr>
          <w:rFonts w:ascii="Times New Roman"/>
          <w:b w:val="false"/>
          <w:i w:val="false"/>
          <w:color w:val="000000"/>
          <w:sz w:val="28"/>
        </w:rPr>
        <w:t xml:space="preserve"> по наиболее быстрорастущим и перспективным металлам, используемым в производстве современных аккумуляторов и электроники: никелю, кобальту, литию. Еще одной из быстрорастущих категорий, не реализованных в Казахстане, является группа редкоземельных металлов.</w:t>
      </w:r>
    </w:p>
    <w:bookmarkEnd w:id="288"/>
    <w:bookmarkStart w:name="z326" w:id="289"/>
    <w:p>
      <w:pPr>
        <w:spacing w:after="0"/>
        <w:ind w:left="0"/>
        <w:jc w:val="both"/>
      </w:pPr>
      <w:r>
        <w:rPr>
          <w:rFonts w:ascii="Times New Roman"/>
          <w:b w:val="false"/>
          <w:i w:val="false"/>
          <w:color w:val="000000"/>
          <w:sz w:val="28"/>
        </w:rPr>
        <w:t xml:space="preserve">
      </w:t>
      </w:r>
      <w:r>
        <w:rPr>
          <w:rFonts w:ascii="Times New Roman"/>
          <w:b/>
          <w:i w:val="false"/>
          <w:color w:val="000000"/>
          <w:sz w:val="28"/>
        </w:rPr>
        <w:t>Рост стоимости труда</w:t>
      </w:r>
    </w:p>
    <w:bookmarkEnd w:id="289"/>
    <w:bookmarkStart w:name="z327" w:id="290"/>
    <w:p>
      <w:pPr>
        <w:spacing w:after="0"/>
        <w:ind w:left="0"/>
        <w:jc w:val="both"/>
      </w:pPr>
      <w:r>
        <w:rPr>
          <w:rFonts w:ascii="Times New Roman"/>
          <w:b w:val="false"/>
          <w:i w:val="false"/>
          <w:color w:val="000000"/>
          <w:sz w:val="28"/>
        </w:rPr>
        <w:t>
      В период с 2000 года средние затраты на одного сотрудника в ГМК увеличились в 7 раз - до 1190 долл. США/мес. При этом увеличение заработной платы не сопровождалось соизмеримым ростом производительности труда в отрасли, которая сохраняется на относительно низком уровне: в 2020 году показатель производительности труда в Казахстане составил 62 тыс. долл. США на одного сотрудника в год, в Перу - 114 тыс. долл. США, в развитых странах (Норвегия, Австралия, Канада, Ирландия, Швеция) - 160 - 200 тыс. долл. США.</w:t>
      </w:r>
    </w:p>
    <w:bookmarkEnd w:id="290"/>
    <w:bookmarkStart w:name="z328" w:id="29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Транспортно-логистические ограничения</w:t>
      </w:r>
    </w:p>
    <w:bookmarkEnd w:id="291"/>
    <w:bookmarkStart w:name="z329" w:id="292"/>
    <w:p>
      <w:pPr>
        <w:spacing w:after="0"/>
        <w:ind w:left="0"/>
        <w:jc w:val="both"/>
      </w:pPr>
      <w:r>
        <w:rPr>
          <w:rFonts w:ascii="Times New Roman"/>
          <w:b w:val="false"/>
          <w:i w:val="false"/>
          <w:color w:val="000000"/>
          <w:sz w:val="28"/>
        </w:rPr>
        <w:t>
      Удаленность от ключевых рынков сбыта, обуславливающая сложность и дороговизну логистики, а также риски, связанные с ограниченностью экспортных транспортных коридоров, отрицательно влияют на конкурентоспособность продукции казахстанского ГМК.</w:t>
      </w:r>
    </w:p>
    <w:bookmarkEnd w:id="292"/>
    <w:bookmarkStart w:name="z330" w:id="29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93"/>
    <w:bookmarkStart w:name="z331" w:id="294"/>
    <w:p>
      <w:pPr>
        <w:spacing w:after="0"/>
        <w:ind w:left="0"/>
        <w:jc w:val="both"/>
      </w:pPr>
      <w:r>
        <w:rPr>
          <w:rFonts w:ascii="Times New Roman"/>
          <w:b w:val="false"/>
          <w:i w:val="false"/>
          <w:color w:val="000000"/>
          <w:sz w:val="28"/>
        </w:rPr>
        <w:t>
      Целью развития отрасли добычи металлов и прочих полезных ископаемых является повышение ресурсной базы для выпуска продукции более высоких переделов.</w:t>
      </w:r>
    </w:p>
    <w:bookmarkEnd w:id="294"/>
    <w:bookmarkStart w:name="z332" w:id="29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Развитие ресурсной базы:</w:t>
      </w:r>
      <w:r>
        <w:rPr>
          <w:rFonts w:ascii="Times New Roman"/>
          <w:b w:val="false"/>
          <w:i w:val="false"/>
          <w:color w:val="000000"/>
          <w:sz w:val="28"/>
        </w:rPr>
        <w:t xml:space="preserve"> </w:t>
      </w:r>
      <w:r>
        <w:rPr>
          <w:rFonts w:ascii="Times New Roman"/>
          <w:b/>
          <w:i w:val="false"/>
          <w:color w:val="000000"/>
          <w:sz w:val="28"/>
        </w:rPr>
        <w:t>стимулирование</w:t>
      </w:r>
      <w:r>
        <w:rPr>
          <w:rFonts w:ascii="Times New Roman"/>
          <w:b w:val="false"/>
          <w:i w:val="false"/>
          <w:color w:val="000000"/>
          <w:sz w:val="28"/>
        </w:rPr>
        <w:t xml:space="preserve"> </w:t>
      </w:r>
      <w:r>
        <w:rPr>
          <w:rFonts w:ascii="Times New Roman"/>
          <w:b/>
          <w:i w:val="false"/>
          <w:color w:val="000000"/>
          <w:sz w:val="28"/>
        </w:rPr>
        <w:t>геологоразведки</w:t>
      </w:r>
    </w:p>
    <w:bookmarkEnd w:id="295"/>
    <w:bookmarkStart w:name="z333" w:id="296"/>
    <w:p>
      <w:pPr>
        <w:spacing w:after="0"/>
        <w:ind w:left="0"/>
        <w:jc w:val="both"/>
      </w:pPr>
      <w:r>
        <w:rPr>
          <w:rFonts w:ascii="Times New Roman"/>
          <w:b w:val="false"/>
          <w:i w:val="false"/>
          <w:color w:val="000000"/>
          <w:sz w:val="28"/>
        </w:rPr>
        <w:t>
      Ключевыми целями отрасли в данном направлении являются расширение ресурсной базы по приоритетным минералам, повышение охвата геологогеофизической изученности территории до 2,3 млн км2 и повышение коэффициентов восполняемости запасов по критическим металлам.</w:t>
      </w:r>
    </w:p>
    <w:bookmarkEnd w:id="296"/>
    <w:p>
      <w:pPr>
        <w:spacing w:after="0"/>
        <w:ind w:left="0"/>
        <w:jc w:val="both"/>
      </w:pPr>
      <w:bookmarkStart w:name="z334" w:id="297"/>
      <w:r>
        <w:rPr>
          <w:rFonts w:ascii="Times New Roman"/>
          <w:b w:val="false"/>
          <w:i w:val="false"/>
          <w:color w:val="000000"/>
          <w:sz w:val="28"/>
        </w:rPr>
        <w:t>
      ___________________</w:t>
      </w:r>
    </w:p>
    <w:bookmarkEnd w:id="297"/>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Казахстан входит в число 10-15 стран с крупнейшими запасами никеля и кобальта.</w:t>
      </w:r>
    </w:p>
    <w:bookmarkStart w:name="z335" w:id="298"/>
    <w:p>
      <w:pPr>
        <w:spacing w:after="0"/>
        <w:ind w:left="0"/>
        <w:jc w:val="both"/>
      </w:pPr>
      <w:r>
        <w:rPr>
          <w:rFonts w:ascii="Times New Roman"/>
          <w:b w:val="false"/>
          <w:i w:val="false"/>
          <w:color w:val="000000"/>
          <w:sz w:val="28"/>
        </w:rPr>
        <w:t>
      Для достижения указанных целей также потребуется доведение геологоразведочной активности до среднемировых уровней (90 долл. США на км2). Кроме того, необходимо провести оценку потенциала создания металлургических предприятий по наиболее быстрорастущим категориям металлов, включая материалы для аккумуляторов (никель, кобальт, литий и прочие) и редкоземельные металлы.</w:t>
      </w:r>
    </w:p>
    <w:bookmarkEnd w:id="298"/>
    <w:bookmarkStart w:name="z336"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геологической базы</w:t>
      </w:r>
      <w:r>
        <w:rPr>
          <w:rFonts w:ascii="Times New Roman"/>
          <w:b w:val="false"/>
          <w:i w:val="false"/>
          <w:color w:val="000000"/>
          <w:sz w:val="28"/>
        </w:rPr>
        <w:t>. Согласно оценке инвестиционной привлекательности от Fraser Institute, Казахстан занял 65-е место из 84 стран в категории горнодобывающей и металлургической промышленности. Наиболее слабой стороной оценки стала "Геологическая база данных". В этой связи растет необходимость завершения создания функционала единой платформы недропользователей с учетом обратной связи участников рынка, а также завершения оцифровки накопленной исторической геологической информации, включая данные по редкоземельным металлам. Кроме того, будет создана инфраструктура для хранения и обработки геологических материалов, включая открытие научно-аналитических лабораторий с международной аккредитацией.</w:t>
      </w:r>
    </w:p>
    <w:bookmarkEnd w:id="299"/>
    <w:bookmarkStart w:name="z337" w:id="300"/>
    <w:p>
      <w:pPr>
        <w:spacing w:after="0"/>
        <w:ind w:left="0"/>
        <w:jc w:val="both"/>
      </w:pPr>
      <w:r>
        <w:rPr>
          <w:rFonts w:ascii="Times New Roman"/>
          <w:b w:val="false"/>
          <w:i w:val="false"/>
          <w:color w:val="000000"/>
          <w:sz w:val="28"/>
        </w:rPr>
        <w:t>
      Деятельность АО "Национальная геологическая служба" в соответствии с планом воспроизводства минерально-сырьевой базы в стране будет направлена на создание эффективной системы управления и оцифровки всей геологической информации, повышение информационно-аналитического и научного обеспечения.</w:t>
      </w:r>
    </w:p>
    <w:bookmarkEnd w:id="300"/>
    <w:bookmarkStart w:name="z338" w:id="301"/>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Предотвращение регуляторных барьеров на получение лицензий</w:t>
      </w:r>
      <w:r>
        <w:rPr>
          <w:rFonts w:ascii="Times New Roman"/>
          <w:b w:val="false"/>
          <w:i w:val="false"/>
          <w:color w:val="000000"/>
          <w:sz w:val="28"/>
        </w:rPr>
        <w:t xml:space="preserve"> </w:t>
      </w:r>
      <w:r>
        <w:rPr>
          <w:rFonts w:ascii="Times New Roman"/>
          <w:b/>
          <w:i w:val="false"/>
          <w:color w:val="000000"/>
          <w:sz w:val="28"/>
        </w:rPr>
        <w:t>на разведку и добычу</w:t>
      </w:r>
      <w:r>
        <w:rPr>
          <w:rFonts w:ascii="Times New Roman"/>
          <w:b w:val="false"/>
          <w:i w:val="false"/>
          <w:color w:val="000000"/>
          <w:sz w:val="28"/>
        </w:rPr>
        <w:t>. В отношении новых месторождений методические руководства, инструкции и другие нормативные правовые акты, регулирующие геологоразведочные процессы, будут актуализированы и приведены в соответствие с международными стандартами CRIRSCO. Наряду с этим дальнейшие изменения регуляторного режима должны проходить комплексную и заблаговременную оценку рисков ухода потенциальных инвесторов</w:t>
      </w:r>
      <w:r>
        <w:rPr>
          <w:rFonts w:ascii="Times New Roman"/>
          <w:b w:val="false"/>
          <w:i w:val="false"/>
          <w:color w:val="000000"/>
          <w:vertAlign w:val="superscript"/>
        </w:rPr>
        <w:t>7</w:t>
      </w:r>
      <w:r>
        <w:rPr>
          <w:rFonts w:ascii="Times New Roman"/>
          <w:b w:val="false"/>
          <w:i w:val="false"/>
          <w:color w:val="000000"/>
          <w:sz w:val="28"/>
        </w:rPr>
        <w:t>.</w:t>
      </w:r>
    </w:p>
    <w:bookmarkEnd w:id="301"/>
    <w:bookmarkStart w:name="z339" w:id="302"/>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доступа к альтернативным источникам финансирования</w:t>
      </w:r>
      <w:r>
        <w:rPr>
          <w:rFonts w:ascii="Times New Roman"/>
          <w:b w:val="false"/>
          <w:i w:val="false"/>
          <w:color w:val="000000"/>
          <w:sz w:val="28"/>
        </w:rPr>
        <w:t>. Компании-юниоры зачастую ограничены в собственных ресурсах, поэтому активно используют рынки акционерного капитала для финансирования своей деятельности. На примере опыта Перу будут изучены вопросы по разработке упрощенного процесса листинга и привлечения акционерного капитала для юниоров на базе казахстанских фондовых бирж.</w:t>
      </w:r>
    </w:p>
    <w:bookmarkEnd w:id="302"/>
    <w:bookmarkStart w:name="z340" w:id="303"/>
    <w:p>
      <w:pPr>
        <w:spacing w:after="0"/>
        <w:ind w:left="0"/>
        <w:jc w:val="both"/>
      </w:pPr>
      <w:r>
        <w:rPr>
          <w:rFonts w:ascii="Times New Roman"/>
          <w:b w:val="false"/>
          <w:i w:val="false"/>
          <w:color w:val="000000"/>
          <w:sz w:val="28"/>
        </w:rPr>
        <w:t>
      Также необходимо принять меры по стимулированию спроса инвесторов, например, через возможность относить на налоговые вычеты расходы на приобретение акций юниоров. Для международного размещения необходимо также обеспечить признание Казахстанского кодекса публичной отчетности о результатах геологоразведочных работ, минеральных ресурсах и минеральных запасах (KAZRC) на ведущих фондовых биржах мира.</w:t>
      </w:r>
    </w:p>
    <w:bookmarkEnd w:id="303"/>
    <w:bookmarkStart w:name="z341" w:id="304"/>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 инструменты поддержки геологоразведочных работ</w:t>
      </w:r>
      <w:r>
        <w:rPr>
          <w:rFonts w:ascii="Times New Roman"/>
          <w:b w:val="false"/>
          <w:i w:val="false"/>
          <w:color w:val="000000"/>
          <w:sz w:val="28"/>
        </w:rPr>
        <w:t>. Одним из рычагов поддержки может стать распространение на ТЛИ существующего подхода для углеводородного сырья - по амортизации 25% расходов на разведку с момента начала добычи. Международные примеры также включают софинансирование или прямой вклад в разведочную деятельность (Канада, Австралия), освобождение от уплаты НДС компаний, ведущих разведочные работы (Перу), вычет обоснованных расходов на разведку из налогооблагаемого дохода юниоров в новых слабоизученных районах (Австралия, Канада), применение понижающих коэффициентов к налоговым ставкам для субъектов малого и среднего предпринимательства, разрешение на использование части обязательных отчислений, выделяемых недропользователями на НИОКР, на геологоразведку.</w:t>
      </w:r>
    </w:p>
    <w:bookmarkEnd w:id="304"/>
    <w:p>
      <w:pPr>
        <w:spacing w:after="0"/>
        <w:ind w:left="0"/>
        <w:jc w:val="both"/>
      </w:pPr>
      <w:bookmarkStart w:name="z342" w:id="305"/>
      <w:r>
        <w:rPr>
          <w:rFonts w:ascii="Times New Roman"/>
          <w:b w:val="false"/>
          <w:i w:val="false"/>
          <w:color w:val="000000"/>
          <w:sz w:val="28"/>
        </w:rPr>
        <w:t xml:space="preserve">
      ____________________ </w:t>
      </w:r>
    </w:p>
    <w:bookmarkEnd w:id="305"/>
    <w:p>
      <w:pPr>
        <w:spacing w:after="0"/>
        <w:ind w:left="0"/>
        <w:jc w:val="both"/>
      </w:pPr>
      <w:r>
        <w:rPr>
          <w:rFonts w:ascii="Times New Roman"/>
          <w:b w:val="false"/>
          <w:i w:val="false"/>
          <w:color w:val="000000"/>
          <w:vertAlign w:val="superscript"/>
        </w:rPr>
        <w:t>7</w:t>
      </w:r>
      <w:r>
        <w:rPr>
          <w:rFonts w:ascii="Times New Roman"/>
          <w:b w:val="false"/>
          <w:i w:val="false"/>
          <w:color w:val="000000"/>
          <w:sz w:val="28"/>
        </w:rPr>
        <w:t xml:space="preserve"> Например, рассматривается возможность включения дополнительных требований для недропользователей, обязывающих их наряду с разведкой и добычей развивать дальнейшие переделы, что потенциально может снизить привлекательность общего кейса и привести к уходу инвесторов.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0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конкурентоспособности:</w:t>
      </w:r>
      <w:r>
        <w:rPr>
          <w:rFonts w:ascii="Times New Roman"/>
          <w:b w:val="false"/>
          <w:i w:val="false"/>
          <w:color w:val="000000"/>
          <w:sz w:val="28"/>
        </w:rPr>
        <w:t xml:space="preserve"> </w:t>
      </w:r>
      <w:r>
        <w:rPr>
          <w:rFonts w:ascii="Times New Roman"/>
          <w:b/>
          <w:i w:val="false"/>
          <w:color w:val="000000"/>
          <w:sz w:val="28"/>
        </w:rPr>
        <w:t>рост</w:t>
      </w:r>
      <w:r>
        <w:rPr>
          <w:rFonts w:ascii="Times New Roman"/>
          <w:b w:val="false"/>
          <w:i w:val="false"/>
          <w:color w:val="000000"/>
          <w:sz w:val="28"/>
        </w:rPr>
        <w:t xml:space="preserve"> </w:t>
      </w:r>
      <w:r>
        <w:rPr>
          <w:rFonts w:ascii="Times New Roman"/>
          <w:b/>
          <w:i w:val="false"/>
          <w:color w:val="000000"/>
          <w:sz w:val="28"/>
        </w:rPr>
        <w:t>инвестиционной привлекательности отрасли</w:t>
      </w:r>
    </w:p>
    <w:bookmarkEnd w:id="306"/>
    <w:bookmarkStart w:name="z344" w:id="307"/>
    <w:p>
      <w:pPr>
        <w:spacing w:after="0"/>
        <w:ind w:left="0"/>
        <w:jc w:val="both"/>
      </w:pPr>
      <w:r>
        <w:rPr>
          <w:rFonts w:ascii="Times New Roman"/>
          <w:b w:val="false"/>
          <w:i w:val="false"/>
          <w:color w:val="000000"/>
          <w:sz w:val="28"/>
        </w:rPr>
        <w:t>
      В рамках данного направления работа будет сосредоточена на разведке и разработке месторождений минералов, характеризующихся высоким спросом и концентрацией предложения на глобальном рынке</w:t>
      </w:r>
      <w:r>
        <w:rPr>
          <w:rFonts w:ascii="Times New Roman"/>
          <w:b w:val="false"/>
          <w:i w:val="false"/>
          <w:color w:val="000000"/>
          <w:vertAlign w:val="superscript"/>
        </w:rPr>
        <w:t>8</w:t>
      </w:r>
      <w:r>
        <w:rPr>
          <w:rFonts w:ascii="Times New Roman"/>
          <w:b w:val="false"/>
          <w:i w:val="false"/>
          <w:color w:val="000000"/>
          <w:sz w:val="28"/>
        </w:rPr>
        <w:t>, в том числе редкоземельных металлов, бора, магния, лития, металлов платиновой группы, галлия.</w:t>
      </w:r>
    </w:p>
    <w:bookmarkEnd w:id="307"/>
    <w:bookmarkStart w:name="z345" w:id="308"/>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Изменение модели налогообложения</w:t>
      </w:r>
      <w:r>
        <w:rPr>
          <w:rFonts w:ascii="Times New Roman"/>
          <w:b w:val="false"/>
          <w:i w:val="false"/>
          <w:color w:val="000000"/>
          <w:sz w:val="28"/>
        </w:rPr>
        <w:t>. Глобально наиболее популярной моделью налогообложения в ГМК является расчет выплат на базе объемов реализованной продукции или прибыли. В то же время в Казахстане все еще используется налог на добычу полезных ископаемых. Переход на новую модель позволит повысить ясность регуляторного режима для потенциальных инвесторов, а также поможет отойти от практики применения разнящихся налоговых ставок по разным типам полезных ископаемых.</w:t>
      </w:r>
    </w:p>
    <w:bookmarkEnd w:id="308"/>
    <w:bookmarkStart w:name="z346" w:id="309"/>
    <w:p>
      <w:pPr>
        <w:spacing w:after="0"/>
        <w:ind w:left="0"/>
        <w:jc w:val="both"/>
      </w:pPr>
      <w:r>
        <w:rPr>
          <w:rFonts w:ascii="Times New Roman"/>
          <w:b w:val="false"/>
          <w:i w:val="false"/>
          <w:color w:val="000000"/>
          <w:sz w:val="28"/>
        </w:rPr>
        <w:t>
      Необходимо проведение пилотного исследования на базе нескольких активов для предотвращения рисков падения доходов государства и отработки механизмов администрирования. В рамках исследования будут подобраны оптимальные ставки, обеспечивающие сохранение текущего объема налоговых поступлений, а также разработана модельная инфраструктура в виде независимых лабораторий для объективной оценки облагаемых объемов.</w:t>
      </w:r>
    </w:p>
    <w:bookmarkEnd w:id="309"/>
    <w:bookmarkStart w:name="z347" w:id="310"/>
    <w:p>
      <w:pPr>
        <w:spacing w:after="0"/>
        <w:ind w:left="0"/>
        <w:jc w:val="both"/>
      </w:pPr>
      <w:r>
        <w:rPr>
          <w:rFonts w:ascii="Times New Roman"/>
          <w:b w:val="false"/>
          <w:i w:val="false"/>
          <w:color w:val="000000"/>
          <w:sz w:val="28"/>
        </w:rPr>
        <w:t>
      Кроме того, для привлечения инвестиций в ряд действующих (зрелых) месторождений ТЛИ возможно рассмотрение внесения изменений в контракты на недропользование в части проведения совместной отработки запасов по группе месторождений либо раздельной отработки запасов по части месторождения с последующим смягчением налогового режима в обмен на встречные обязательства бизнеса.</w:t>
      </w:r>
    </w:p>
    <w:bookmarkEnd w:id="310"/>
    <w:bookmarkStart w:name="z348" w:id="311"/>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стабильности налогового регулирования</w:t>
      </w:r>
      <w:r>
        <w:rPr>
          <w:rFonts w:ascii="Times New Roman"/>
          <w:b w:val="false"/>
          <w:i w:val="false"/>
          <w:color w:val="000000"/>
          <w:sz w:val="28"/>
        </w:rPr>
        <w:t>. Приоритетами работы станут формирование среднесрочного видения отрасли, повышение прозрачности по планируемым регуляторным и фискальным изменениям, заблаговременная коммуникация изменений и создание площадки для обсуждения инициатив с индустрией. Стабильность условий будет обеспечиваться общей заморозкой налоговых условий по выбранным видам деятельности на определенный период или гарантиями на уровне отдельных лицензий или инвестиционных соглашений.</w:t>
      </w:r>
    </w:p>
    <w:bookmarkEnd w:id="311"/>
    <w:p>
      <w:pPr>
        <w:spacing w:after="0"/>
        <w:ind w:left="0"/>
        <w:jc w:val="both"/>
      </w:pPr>
      <w:bookmarkStart w:name="z349" w:id="312"/>
      <w:r>
        <w:rPr>
          <w:rFonts w:ascii="Times New Roman"/>
          <w:b w:val="false"/>
          <w:i w:val="false"/>
          <w:color w:val="000000"/>
          <w:sz w:val="28"/>
        </w:rPr>
        <w:t>
      _________________________________</w:t>
      </w:r>
    </w:p>
    <w:bookmarkEnd w:id="312"/>
    <w:p>
      <w:pPr>
        <w:spacing w:after="0"/>
        <w:ind w:left="0"/>
        <w:jc w:val="both"/>
      </w:pPr>
      <w:r>
        <w:rPr>
          <w:rFonts w:ascii="Times New Roman"/>
          <w:b w:val="false"/>
          <w:i w:val="false"/>
          <w:color w:val="000000"/>
          <w:vertAlign w:val="superscript"/>
        </w:rPr>
        <w:t>8</w:t>
      </w:r>
      <w:r>
        <w:rPr>
          <w:rFonts w:ascii="Times New Roman"/>
          <w:b w:val="false"/>
          <w:i w:val="false"/>
          <w:color w:val="000000"/>
          <w:sz w:val="28"/>
        </w:rPr>
        <w:t xml:space="preserve"> ЕС выпустил закон о критически важных сырьевых материалах (Critical raw materials act), направленный на предотвращение рисков нарушения цепочек поставок и определяющий цели по минимальной доле мощностей ЕС в потреблении критических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0" w:id="3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рост производительности труда</w:t>
      </w:r>
    </w:p>
    <w:bookmarkEnd w:id="313"/>
    <w:bookmarkStart w:name="z351" w:id="314"/>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Подготовка конкурентных кадров</w:t>
      </w:r>
      <w:r>
        <w:rPr>
          <w:rFonts w:ascii="Times New Roman"/>
          <w:b w:val="false"/>
          <w:i w:val="false"/>
          <w:color w:val="000000"/>
          <w:sz w:val="28"/>
        </w:rPr>
        <w:t>. Подготовка высокопрофессиональных кадров при активном вовлечении потенциальных работодателей - один из ключевых компонентов здорового долгосрочного развития отрасли. Кроме того, необходимы контроль численности персонала и повышение трудовой мобильности. Контроль оттока кадров и ограниченный наем новых специалистов на текущие активы, а также заблаговременная переквалификация и перенаправление сотрудников со зрелых на развивающиеся активы помогут снизить нагрузку на отрасль.</w:t>
      </w:r>
    </w:p>
    <w:bookmarkEnd w:id="314"/>
    <w:bookmarkStart w:name="z352" w:id="31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Уточнение требований по рекультивации истощающихся активов</w:t>
      </w:r>
    </w:p>
    <w:bookmarkEnd w:id="315"/>
    <w:bookmarkStart w:name="z353" w:id="316"/>
    <w:p>
      <w:pPr>
        <w:spacing w:after="0"/>
        <w:ind w:left="0"/>
        <w:jc w:val="both"/>
      </w:pPr>
      <w:r>
        <w:rPr>
          <w:rFonts w:ascii="Times New Roman"/>
          <w:b w:val="false"/>
          <w:i w:val="false"/>
          <w:color w:val="000000"/>
          <w:sz w:val="28"/>
        </w:rPr>
        <w:t>
      Ключевой целью в данном направлении является обновление к 2029 году регуляторных требований, связанных с рекультивацией земель. Дальнейшими шагами станут внедрение требований к оценке ожидаемых затрат, критериям рассмотрения планов по ликвидации и объектам восстановления. Международные стандарты и практики для оценки затрат на основе характеристик месторождения помогут стандартизировать подход к таким расчетам и избежать риска нехватки средств для полноценного закрытия месторождений в будущем. Также будут внедрены нормы по ликвидации последствий недропользования еще на этапе добычи.</w:t>
      </w:r>
    </w:p>
    <w:bookmarkEnd w:id="316"/>
    <w:p>
      <w:pPr>
        <w:spacing w:after="0"/>
        <w:ind w:left="0"/>
        <w:jc w:val="both"/>
      </w:pPr>
      <w:r>
        <w:rPr>
          <w:rFonts w:ascii="Times New Roman"/>
          <w:b/>
          <w:i w:val="false"/>
          <w:color w:val="000000"/>
          <w:sz w:val="28"/>
        </w:rPr>
        <w:t>2.3. ЭНЕРГЕТИКА</w:t>
      </w:r>
    </w:p>
    <w:bookmarkStart w:name="z355" w:id="31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17"/>
    <w:bookmarkStart w:name="z356" w:id="318"/>
    <w:p>
      <w:pPr>
        <w:spacing w:after="0"/>
        <w:ind w:left="0"/>
        <w:jc w:val="both"/>
      </w:pPr>
      <w:r>
        <w:rPr>
          <w:rFonts w:ascii="Times New Roman"/>
          <w:b w:val="false"/>
          <w:i w:val="false"/>
          <w:color w:val="000000"/>
          <w:sz w:val="28"/>
        </w:rPr>
        <w:t>
      По итогам 2022 года вклад отрасли энергетики в ВВП</w:t>
      </w:r>
      <w:r>
        <w:rPr>
          <w:rFonts w:ascii="Times New Roman"/>
          <w:b w:val="false"/>
          <w:i w:val="false"/>
          <w:color w:val="000000"/>
          <w:vertAlign w:val="superscript"/>
        </w:rPr>
        <w:t>9</w:t>
      </w:r>
      <w:r>
        <w:rPr>
          <w:rFonts w:ascii="Times New Roman"/>
          <w:b w:val="false"/>
          <w:i w:val="false"/>
          <w:color w:val="000000"/>
          <w:sz w:val="28"/>
        </w:rPr>
        <w:t xml:space="preserve"> составил 1,4%, инвестиции в основной капитал (далее - ИОК) оценивались в 0,8 трлн тенге. В отрасли занято 148 тыс. человек.</w:t>
      </w:r>
    </w:p>
    <w:bookmarkEnd w:id="318"/>
    <w:bookmarkStart w:name="z357" w:id="319"/>
    <w:p>
      <w:pPr>
        <w:spacing w:after="0"/>
        <w:ind w:left="0"/>
        <w:jc w:val="both"/>
      </w:pPr>
      <w:r>
        <w:rPr>
          <w:rFonts w:ascii="Times New Roman"/>
          <w:b w:val="false"/>
          <w:i w:val="false"/>
          <w:color w:val="000000"/>
          <w:sz w:val="28"/>
        </w:rPr>
        <w:t>
      Управление отраслью ограничивается трилеммой задач по обеспечению энергобезопасности и углеродной нейтральности, а также балансом между доступностью электроэнергии и необходимостью привлечения инвестиций. По всем трем элементам имеются вызовы, включая дефицит электроэнергии и высокую изношенность энергетической инфраструктуры, высокую энергоемкость экономики, а также недостаточную инвестиционную привлекательность отрасли.</w:t>
      </w:r>
    </w:p>
    <w:bookmarkEnd w:id="319"/>
    <w:bookmarkStart w:name="z358" w:id="320"/>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Энергобезопасность</w:t>
      </w:r>
    </w:p>
    <w:bookmarkEnd w:id="320"/>
    <w:bookmarkStart w:name="z359" w:id="321"/>
    <w:p>
      <w:pPr>
        <w:spacing w:after="0"/>
        <w:ind w:left="0"/>
        <w:jc w:val="both"/>
      </w:pPr>
      <w:r>
        <w:rPr>
          <w:rFonts w:ascii="Times New Roman"/>
          <w:b w:val="false"/>
          <w:i w:val="false"/>
          <w:color w:val="000000"/>
          <w:sz w:val="28"/>
        </w:rPr>
        <w:t>
      В 2023 году в Казахстане разница между производством и потреблением электроэнергии составила 2,2 млрд кВт-ч. Более того, согласно прогнозному балансу электрической энергии Казахстана</w:t>
      </w:r>
      <w:r>
        <w:rPr>
          <w:rFonts w:ascii="Times New Roman"/>
          <w:b w:val="false"/>
          <w:i w:val="false"/>
          <w:color w:val="000000"/>
          <w:vertAlign w:val="superscript"/>
        </w:rPr>
        <w:t>10</w:t>
      </w:r>
      <w:r>
        <w:rPr>
          <w:rFonts w:ascii="Times New Roman"/>
          <w:b w:val="false"/>
          <w:i w:val="false"/>
          <w:color w:val="000000"/>
          <w:sz w:val="28"/>
        </w:rPr>
        <w:t>, этот разрыв увеличится и в 2029 году составит 6,9 млрд кВт ч. Разбалансированность производства и потребления электроэнергии усугубляется высоким уровнем износа инфраструктуры: доля электростанций старше 30 лет составляет 56%, а средний износ электросетей - 74%, что наряду с повышением аварийности приводит к значительным потерям при распределении энергии, уровень которой достигает 14%.</w:t>
      </w:r>
    </w:p>
    <w:bookmarkEnd w:id="321"/>
    <w:p>
      <w:pPr>
        <w:spacing w:after="0"/>
        <w:ind w:left="0"/>
        <w:jc w:val="both"/>
      </w:pPr>
      <w:bookmarkStart w:name="z360" w:id="322"/>
      <w:r>
        <w:rPr>
          <w:rFonts w:ascii="Times New Roman"/>
          <w:b w:val="false"/>
          <w:i w:val="false"/>
          <w:color w:val="000000"/>
          <w:sz w:val="28"/>
        </w:rPr>
        <w:t>
      ___________________________</w:t>
      </w:r>
    </w:p>
    <w:bookmarkEnd w:id="322"/>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9</w:t>
      </w:r>
      <w:r>
        <w:rPr>
          <w:rFonts w:ascii="Times New Roman"/>
          <w:b w:val="false"/>
          <w:i w:val="false"/>
          <w:color w:val="000000"/>
          <w:sz w:val="28"/>
        </w:rPr>
        <w:t xml:space="preserve"> Снабжение электроэнергией, газом, паром, горячей водой и кондиционированным воздухом.</w:t>
      </w:r>
    </w:p>
    <w:bookmarkStart w:name="z361" w:id="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Прогнозный баланс электроэнергии Казахстана на период с 2024 по 2030 год.</w:t>
      </w:r>
    </w:p>
    <w:bookmarkEnd w:id="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324"/>
    <w:p>
      <w:pPr>
        <w:spacing w:after="0"/>
        <w:ind w:left="0"/>
        <w:jc w:val="both"/>
      </w:pPr>
      <w:r>
        <w:rPr>
          <w:rFonts w:ascii="Times New Roman"/>
          <w:b w:val="false"/>
          <w:i w:val="false"/>
          <w:color w:val="000000"/>
          <w:sz w:val="28"/>
        </w:rPr>
        <w:t xml:space="preserve">
      </w:t>
      </w:r>
      <w:r>
        <w:rPr>
          <w:rFonts w:ascii="Times New Roman"/>
          <w:b/>
          <w:i w:val="false"/>
          <w:color w:val="000000"/>
          <w:sz w:val="28"/>
        </w:rPr>
        <w:t>Углеродная нейтральность</w:t>
      </w:r>
    </w:p>
    <w:bookmarkEnd w:id="324"/>
    <w:bookmarkStart w:name="z363" w:id="325"/>
    <w:p>
      <w:pPr>
        <w:spacing w:after="0"/>
        <w:ind w:left="0"/>
        <w:jc w:val="both"/>
      </w:pPr>
      <w:r>
        <w:rPr>
          <w:rFonts w:ascii="Times New Roman"/>
          <w:b w:val="false"/>
          <w:i w:val="false"/>
          <w:color w:val="000000"/>
          <w:sz w:val="28"/>
        </w:rPr>
        <w:t>
      Энергоемкость экономики Казахстана составляет 0,32 тнэ на 1 ООО долл. США ВВП, что превышает среднемировые показатели и показатели развивающихся стран</w:t>
      </w:r>
      <w:r>
        <w:rPr>
          <w:rFonts w:ascii="Times New Roman"/>
          <w:b w:val="false"/>
          <w:i w:val="false"/>
          <w:color w:val="000000"/>
          <w:vertAlign w:val="superscript"/>
        </w:rPr>
        <w:t>11</w:t>
      </w:r>
      <w:r>
        <w:rPr>
          <w:rFonts w:ascii="Times New Roman"/>
          <w:b w:val="false"/>
          <w:i w:val="false"/>
          <w:color w:val="000000"/>
          <w:sz w:val="28"/>
        </w:rPr>
        <w:t xml:space="preserve"> на 65% и 14% соответственно. При этом значительная доля традиционных источников</w:t>
      </w:r>
      <w:r>
        <w:rPr>
          <w:rFonts w:ascii="Times New Roman"/>
          <w:b w:val="false"/>
          <w:i w:val="false"/>
          <w:color w:val="000000"/>
          <w:vertAlign w:val="superscript"/>
        </w:rPr>
        <w:t>12</w:t>
      </w:r>
      <w:r>
        <w:rPr>
          <w:rFonts w:ascii="Times New Roman"/>
          <w:b w:val="false"/>
          <w:i w:val="false"/>
          <w:color w:val="000000"/>
          <w:sz w:val="28"/>
        </w:rPr>
        <w:t xml:space="preserve"> в генерации электроэнергии приводит к высокому уровню выбросов парниковых газов, в связи с чем Казахстан входит в топ-5 стран в мире по углеродным выбросам относительно ВВП и углеродным выбросам на душу населения.</w:t>
      </w:r>
    </w:p>
    <w:bookmarkEnd w:id="325"/>
    <w:bookmarkStart w:name="z364" w:id="326"/>
    <w:p>
      <w:pPr>
        <w:spacing w:after="0"/>
        <w:ind w:left="0"/>
        <w:jc w:val="both"/>
      </w:pPr>
      <w:r>
        <w:rPr>
          <w:rFonts w:ascii="Times New Roman"/>
          <w:b w:val="false"/>
          <w:i w:val="false"/>
          <w:color w:val="000000"/>
          <w:sz w:val="28"/>
        </w:rPr>
        <w:t xml:space="preserve">
      </w:t>
      </w:r>
      <w:r>
        <w:rPr>
          <w:rFonts w:ascii="Times New Roman"/>
          <w:b/>
          <w:i w:val="false"/>
          <w:color w:val="000000"/>
          <w:sz w:val="28"/>
        </w:rPr>
        <w:t>Баланс меж</w:t>
      </w:r>
      <w:r>
        <w:rPr>
          <w:rFonts w:ascii="Times New Roman"/>
          <w:b/>
          <w:i w:val="false"/>
          <w:color w:val="000000"/>
          <w:sz w:val="28"/>
        </w:rPr>
        <w:t>ду доступностью электроэнергии и необходимостью привлечения инвестиций</w:t>
      </w:r>
    </w:p>
    <w:bookmarkEnd w:id="326"/>
    <w:bookmarkStart w:name="z365" w:id="327"/>
    <w:p>
      <w:pPr>
        <w:spacing w:after="0"/>
        <w:ind w:left="0"/>
        <w:jc w:val="both"/>
      </w:pPr>
      <w:r>
        <w:rPr>
          <w:rFonts w:ascii="Times New Roman"/>
          <w:b w:val="false"/>
          <w:i w:val="false"/>
          <w:color w:val="000000"/>
          <w:sz w:val="28"/>
        </w:rPr>
        <w:t>
      В Казахстане тарифы на электроэнергию одни из самых низких в мире как в абсолютном значении, так и в качестве доли в затратах домохозяйств - на уровне 3,5 - 4,9 цента США на кВтч для населения и промышленности. Данный уровень тарифов недостаточен для привлечения значительных инвестиций в ввод новых мощностей, модернизацию инфраструктуры и энергопереход. Так, в 2018 - 2020 годах объем инвестиций в энергетику в Казахстане находился на низком уровне, удельные инвестиции13 на кВт-ч составили 1,5 - 2,3 цента США, что на 20 - 50% ниже среднемировых показателей.</w:t>
      </w:r>
    </w:p>
    <w:bookmarkEnd w:id="327"/>
    <w:bookmarkStart w:name="z366" w:id="32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328"/>
    <w:bookmarkStart w:name="z367" w:id="329"/>
    <w:p>
      <w:pPr>
        <w:spacing w:after="0"/>
        <w:ind w:left="0"/>
        <w:jc w:val="both"/>
      </w:pPr>
      <w:r>
        <w:rPr>
          <w:rFonts w:ascii="Times New Roman"/>
          <w:b w:val="false"/>
          <w:i w:val="false"/>
          <w:color w:val="000000"/>
          <w:sz w:val="28"/>
        </w:rPr>
        <w:t>
      Приоритеты развития отрасли направлены на обеспечение энергетической безопасности и соблюдение обязательств по углеродной нейтральности за счет стимулирования инвестиций в модернизацию и расширения инфраструктуры, а также масштабного внедрения мер повышения энергоэффективности экономики.</w:t>
      </w:r>
    </w:p>
    <w:bookmarkEnd w:id="329"/>
    <w:bookmarkStart w:name="z368" w:id="33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Модернизация и расширение инфраструктуры</w:t>
      </w:r>
    </w:p>
    <w:bookmarkEnd w:id="330"/>
    <w:bookmarkStart w:name="z369" w:id="331"/>
    <w:p>
      <w:pPr>
        <w:spacing w:after="0"/>
        <w:ind w:left="0"/>
        <w:jc w:val="both"/>
      </w:pPr>
      <w:r>
        <w:rPr>
          <w:rFonts w:ascii="Times New Roman"/>
          <w:b w:val="false"/>
          <w:i w:val="false"/>
          <w:color w:val="000000"/>
          <w:sz w:val="28"/>
        </w:rPr>
        <w:t>
      Модернизация энергетической инфраструктуры будет направлена на снижение износа генерирующих мощностей, электрических сетей, а также доведение оснащения современными системами учета до 100%, что позволит снизить общие потери и аварийность энергосистемы.</w:t>
      </w:r>
    </w:p>
    <w:bookmarkEnd w:id="331"/>
    <w:bookmarkStart w:name="z370" w:id="332"/>
    <w:p>
      <w:pPr>
        <w:spacing w:after="0"/>
        <w:ind w:left="0"/>
        <w:jc w:val="both"/>
      </w:pPr>
      <w:r>
        <w:rPr>
          <w:rFonts w:ascii="Times New Roman"/>
          <w:b w:val="false"/>
          <w:i w:val="false"/>
          <w:color w:val="000000"/>
          <w:sz w:val="28"/>
        </w:rPr>
        <w:t>
      Также возможно рассмотрение модернизации тепловых мощностей через аукционы модернизации на 4 - 6 лет вперед на примере международного опыта. Подобные аукционы отбирают проекты по критериям изношенности, соответствию нормативным капитальным затратам, снижения выбросов парниковых газов, надежности системы во время модернизации.</w:t>
      </w:r>
    </w:p>
    <w:bookmarkEnd w:id="332"/>
    <w:bookmarkStart w:name="z371" w:id="333"/>
    <w:p>
      <w:pPr>
        <w:spacing w:after="0"/>
        <w:ind w:left="0"/>
        <w:jc w:val="both"/>
      </w:pPr>
      <w:r>
        <w:rPr>
          <w:rFonts w:ascii="Times New Roman"/>
          <w:b w:val="false"/>
          <w:i w:val="false"/>
          <w:color w:val="000000"/>
          <w:sz w:val="28"/>
        </w:rPr>
        <w:t>
      Для повышения эффективности работы сети также необходимо увеличить использование "умных" счетчиков, углубленной аналитики и цифровых технологий и усилить мониторинг качества услуг сети распределения, включая отслеживание показателей средней продолжительности и частоты аварий.</w:t>
      </w:r>
    </w:p>
    <w:bookmarkEnd w:id="333"/>
    <w:p>
      <w:pPr>
        <w:spacing w:after="0"/>
        <w:ind w:left="0"/>
        <w:jc w:val="both"/>
      </w:pPr>
      <w:bookmarkStart w:name="z372" w:id="334"/>
      <w:r>
        <w:rPr>
          <w:rFonts w:ascii="Times New Roman"/>
          <w:b w:val="false"/>
          <w:i w:val="false"/>
          <w:color w:val="000000"/>
          <w:sz w:val="28"/>
        </w:rPr>
        <w:t>
      _________________________</w:t>
      </w:r>
    </w:p>
    <w:bookmarkEnd w:id="334"/>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11</w:t>
      </w:r>
      <w:r>
        <w:rPr>
          <w:rFonts w:ascii="Times New Roman"/>
          <w:b w:val="false"/>
          <w:i w:val="false"/>
          <w:color w:val="000000"/>
          <w:sz w:val="28"/>
        </w:rPr>
        <w:t xml:space="preserve"> Китай, Россия, Бразилия, Индия, Польша, Южная Африка, Турция, Малайзия, Чили, Узбекистан, Азербайджан, Индонезия, Саудовская Аравия.</w:t>
      </w:r>
    </w:p>
    <w:bookmarkStart w:name="z373"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Доля угольных станций в производстве энергии - 66,7%, газовых - 21,5%, ГЭС - 7,3%, ВИЭ - 4,53%.</w:t>
      </w:r>
    </w:p>
    <w:bookmarkEnd w:id="335"/>
    <w:bookmarkStart w:name="z374"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sz w:val="28"/>
        </w:rPr>
        <w:t xml:space="preserve"> Включает инвестиции в электроэнергетику, электроснабжение, теплоснабжение и газовые сети.</w:t>
      </w:r>
    </w:p>
    <w:bookmarkEnd w:id="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33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Увеличение доли возобновляемых источников энергии (далее - ВИЭ) в энергетическом балансе</w:t>
      </w:r>
    </w:p>
    <w:bookmarkEnd w:id="337"/>
    <w:bookmarkStart w:name="z376" w:id="338"/>
    <w:p>
      <w:pPr>
        <w:spacing w:after="0"/>
        <w:ind w:left="0"/>
        <w:jc w:val="both"/>
      </w:pPr>
      <w:r>
        <w:rPr>
          <w:rFonts w:ascii="Times New Roman"/>
          <w:b w:val="false"/>
          <w:i w:val="false"/>
          <w:color w:val="000000"/>
          <w:sz w:val="28"/>
        </w:rPr>
        <w:t>
      У</w:t>
      </w:r>
      <w:r>
        <w:rPr>
          <w:rFonts w:ascii="Times New Roman"/>
          <w:b/>
          <w:i w:val="false"/>
          <w:color w:val="000000"/>
          <w:sz w:val="28"/>
        </w:rPr>
        <w:t>величение объемов закупа и совершенствование механизмов на аукционах ВИЭ</w:t>
      </w:r>
      <w:r>
        <w:rPr>
          <w:rFonts w:ascii="Times New Roman"/>
          <w:b w:val="false"/>
          <w:i w:val="false"/>
          <w:color w:val="000000"/>
          <w:sz w:val="28"/>
        </w:rPr>
        <w:t>. Кроме роста рентабельности через повышение цен закупа и увеличение объемов мощностей на аукционах, необходимо включить повторные торги в случае несостоявшихся сделок.</w:t>
      </w:r>
    </w:p>
    <w:bookmarkEnd w:id="338"/>
    <w:bookmarkStart w:name="z377" w:id="339"/>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маневренных мощностей</w:t>
      </w:r>
      <w:r>
        <w:rPr>
          <w:rFonts w:ascii="Times New Roman"/>
          <w:b w:val="false"/>
          <w:i w:val="false"/>
          <w:color w:val="000000"/>
          <w:sz w:val="28"/>
        </w:rPr>
        <w:t>. Важный элемент обеспечения энергобаланса - создание новых маневренных ресурсов, в том числе системы накопления и хранения энергии, необходимых для балансировки системы и управления нестабильностью ВИЭ. В краткосрочной перспективе в ближайшие пять лет для увеличения гибкости требуется проведение инвентаризации мощностей и оценки потенциала маневрирования угольных, газовых и гидроэлектростанций.</w:t>
      </w:r>
    </w:p>
    <w:bookmarkEnd w:id="339"/>
    <w:bookmarkStart w:name="z378" w:id="340"/>
    <w:p>
      <w:pPr>
        <w:spacing w:after="0"/>
        <w:ind w:left="0"/>
        <w:jc w:val="both"/>
      </w:pPr>
      <w:r>
        <w:rPr>
          <w:rFonts w:ascii="Times New Roman"/>
          <w:b w:val="false"/>
          <w:i w:val="false"/>
          <w:color w:val="000000"/>
          <w:sz w:val="28"/>
        </w:rPr>
        <w:t>
      Увеличение доли собственной ВИЭ-генерации в промышленности позволит значительно ускорить достижение целей по увеличению выработки чистой энергии. Поддерживающими инструментами станут введение специальных обязательств по доле электроэнергии из ВИЭ в общем потреблении производств, а также механизмы продажи ВИЭ для производственных компаний с собственной генерацией (по примерам Индии и Швеции).</w:t>
      </w:r>
    </w:p>
    <w:bookmarkEnd w:id="340"/>
    <w:bookmarkStart w:name="z379" w:id="341"/>
    <w:p>
      <w:pPr>
        <w:spacing w:after="0"/>
        <w:ind w:left="0"/>
        <w:jc w:val="both"/>
      </w:pPr>
      <w:r>
        <w:rPr>
          <w:rFonts w:ascii="Times New Roman"/>
          <w:b w:val="false"/>
          <w:i w:val="false"/>
          <w:color w:val="000000"/>
          <w:sz w:val="28"/>
        </w:rPr>
        <w:t>
      При этом необходима разработка программы переквалификации кадров для работы в отраслях "зеленой" энергетики на примере Green Jobs Workforce Academy и Green Jobs Skills Hub в Шотландии и Future Skills Centre в Канаде.</w:t>
      </w:r>
    </w:p>
    <w:bookmarkEnd w:id="341"/>
    <w:bookmarkStart w:name="z380" w:id="34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инвестиционной привлекательности сектора</w:t>
      </w:r>
    </w:p>
    <w:bookmarkEnd w:id="342"/>
    <w:bookmarkStart w:name="z381" w:id="343"/>
    <w:p>
      <w:pPr>
        <w:spacing w:after="0"/>
        <w:ind w:left="0"/>
        <w:jc w:val="both"/>
      </w:pPr>
      <w:r>
        <w:rPr>
          <w:rFonts w:ascii="Times New Roman"/>
          <w:b w:val="false"/>
          <w:i w:val="false"/>
          <w:color w:val="000000"/>
          <w:sz w:val="28"/>
        </w:rPr>
        <w:t>
      Для модернизации и развития инфраструктуры, ввода "зеленой" генерации необходимо принятие мер по улучшению привлекательности сектора для инвесторов. В частности, будут обеспечена предсказуемость условий для планирования инвестиционного цикла и повышена рентабельность проектов генерации и инфраструктуры.</w:t>
      </w:r>
    </w:p>
    <w:bookmarkEnd w:id="343"/>
    <w:bookmarkStart w:name="z382" w:id="344"/>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предсказуемых и прозрачных условий для инвесторов через долгосрочное планирование мощностей, гарантии закупа и доступа к сети</w:t>
      </w:r>
      <w:r>
        <w:rPr>
          <w:rFonts w:ascii="Times New Roman"/>
          <w:b w:val="false"/>
          <w:i w:val="false"/>
          <w:color w:val="000000"/>
          <w:sz w:val="28"/>
        </w:rPr>
        <w:t>. В целом, проекты в энергетике являются капиталоемкими и имеют длительные сроки окупаемости, поэтому критическим фактором при планировании инвестиционного цикла выступает предсказуемость базовых условий в ближайшие 10-15 лет.</w:t>
      </w:r>
    </w:p>
    <w:bookmarkEnd w:id="344"/>
    <w:bookmarkStart w:name="z383" w:id="345"/>
    <w:p>
      <w:pPr>
        <w:spacing w:after="0"/>
        <w:ind w:left="0"/>
        <w:jc w:val="both"/>
      </w:pPr>
      <w:r>
        <w:rPr>
          <w:rFonts w:ascii="Times New Roman"/>
          <w:b w:val="false"/>
          <w:i w:val="false"/>
          <w:color w:val="000000"/>
          <w:sz w:val="28"/>
        </w:rPr>
        <w:t>
      Важное условие для привлечения инвестиций - предоставление гарантий на подключение к электросети Казахстана для проектов ВИЭ-генерации и упрощение получения разрешительных документов. Например, ЕС и Великобритания объявили о цели сокращения длительности получения разрешений на проекты ВИЭ с 4 до 1 - 2 лет.</w:t>
      </w:r>
    </w:p>
    <w:bookmarkEnd w:id="345"/>
    <w:bookmarkStart w:name="z384" w:id="346"/>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рентабельности инвестиций через изменение тарифообразования</w:t>
      </w:r>
      <w:r>
        <w:rPr>
          <w:rFonts w:ascii="Times New Roman"/>
          <w:b w:val="false"/>
          <w:i w:val="false"/>
          <w:color w:val="000000"/>
          <w:sz w:val="28"/>
        </w:rPr>
        <w:t>. В рамках развития программы "Тариф в обмен на инвестиции" планируются переход от затратного к стимулирующему тарифному регулированию, от утверждения индивидуальных тарифов к определению предельных цен, а также усовершенствование процедур формирования тарифов. При этом изменение тарифов, необходимое для модернизации отрасли, будет носить поэтапный и прогнозируемый характер. Также предполагается принятие мер по повышению эффективности реализации инвестпрограмм для снижения давления на инфляцию: возможность поддержания рыночного уровня доходности на инвестированный капитал будет сопровождаться стимулами к снижению себестоимости регулируемых услуг. Для минимизации отрицательных социальных эффектов планируется предусмотреть механизмы адресной поддержки уязвимых слоев населения. Программа "Тариф в обмен на инвестиции" будет расширена для включения проектов новой электрогенерации.</w:t>
      </w:r>
    </w:p>
    <w:bookmarkEnd w:id="346"/>
    <w:bookmarkStart w:name="z385" w:id="347"/>
    <w:p>
      <w:pPr>
        <w:spacing w:after="0"/>
        <w:ind w:left="0"/>
        <w:jc w:val="both"/>
      </w:pPr>
      <w:r>
        <w:rPr>
          <w:rFonts w:ascii="Times New Roman"/>
          <w:b w:val="false"/>
          <w:i w:val="false"/>
          <w:color w:val="000000"/>
          <w:sz w:val="28"/>
        </w:rPr>
        <w:t>
      Расширение мер государственной поддержки проектов генерации и зеленого водорода с применением глобального опыта позволит дополнительно стимулировать энергетический переход страны, при этом особое внимание будет уделено производствам, связанным с климатическими технологиями14.</w:t>
      </w:r>
    </w:p>
    <w:bookmarkEnd w:id="347"/>
    <w:bookmarkStart w:name="z386" w:id="34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Повышение энергоэффективности экономики</w:t>
      </w:r>
    </w:p>
    <w:bookmarkEnd w:id="348"/>
    <w:bookmarkStart w:name="z387" w:id="349"/>
    <w:p>
      <w:pPr>
        <w:spacing w:after="0"/>
        <w:ind w:left="0"/>
        <w:jc w:val="both"/>
      </w:pPr>
      <w:r>
        <w:rPr>
          <w:rFonts w:ascii="Times New Roman"/>
          <w:b w:val="false"/>
          <w:i w:val="false"/>
          <w:color w:val="000000"/>
          <w:sz w:val="28"/>
        </w:rPr>
        <w:t>
      Ключевой задачей в данном направлении станет общее снижение энергоемкости экономики Казахстана. Согласно поручению Г лавы государства, показатели энергопотребления и энергоемкости экономики будут снижены минимум на 15% к 2029 году. Для повышения энергоэффективности зданий будут внедрены и актуализированы существующие строительные нормативы, направленные на снижение энергопотерь, а также запущена практика ведения энергетического рейтинга зданий (House energy rating), основанного на результатах системного мониторинга энергоэффективности помещений.</w:t>
      </w:r>
    </w:p>
    <w:bookmarkEnd w:id="349"/>
    <w:bookmarkStart w:name="z388" w:id="350"/>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программ энергоэффективности и энергоаудитов в промышленности</w:t>
      </w:r>
      <w:r>
        <w:rPr>
          <w:rFonts w:ascii="Times New Roman"/>
          <w:b w:val="false"/>
          <w:i w:val="false"/>
          <w:color w:val="000000"/>
          <w:sz w:val="28"/>
        </w:rPr>
        <w:t>. Будут проведены бесплатные оценки энергопотребления с выработкой конкретных рекомендаций (по примеру Мичиганской программы в США), а также предусмотрено последующее финансирование мер по обеспечению энергоэффективности крупных и средних предприятий (по примеру опыта Китая). Дополнительным рычагом станет привлечение на рынок Казахстана международных энергосервисных компаний и экспертных центров.</w:t>
      </w:r>
    </w:p>
    <w:bookmarkEnd w:id="350"/>
    <w:p>
      <w:pPr>
        <w:spacing w:after="0"/>
        <w:ind w:left="0"/>
        <w:jc w:val="both"/>
      </w:pPr>
      <w:r>
        <w:rPr>
          <w:rFonts w:ascii="Times New Roman"/>
          <w:b/>
          <w:i w:val="false"/>
          <w:color w:val="000000"/>
          <w:sz w:val="28"/>
        </w:rPr>
        <w:t>2.4. ОБРАБАТЫВАЮЩАЯ ПРОМЫШЛЕННОСТЬ</w:t>
      </w:r>
    </w:p>
    <w:bookmarkStart w:name="z390" w:id="351"/>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51"/>
    <w:bookmarkStart w:name="z391" w:id="352"/>
    <w:p>
      <w:pPr>
        <w:spacing w:after="0"/>
        <w:ind w:left="0"/>
        <w:jc w:val="both"/>
      </w:pPr>
      <w:r>
        <w:rPr>
          <w:rFonts w:ascii="Times New Roman"/>
          <w:b w:val="false"/>
          <w:i w:val="false"/>
          <w:color w:val="000000"/>
          <w:sz w:val="28"/>
        </w:rPr>
        <w:t>
      В 2022 году выпуск продукции отрасли составил 21,2 трлн тенге. Основной вклад в обрабатывающую промышленность вносят следующие сектора: металлургия (44% от общего объема отрасли), производство продуктов питания (19%), машиностроение (15%), производство стройматериалов (6%) и химическая промышленность (4%).</w:t>
      </w:r>
    </w:p>
    <w:bookmarkEnd w:id="352"/>
    <w:p>
      <w:pPr>
        <w:spacing w:after="0"/>
        <w:ind w:left="0"/>
        <w:jc w:val="both"/>
      </w:pPr>
      <w:bookmarkStart w:name="z392" w:id="353"/>
      <w:r>
        <w:rPr>
          <w:rFonts w:ascii="Times New Roman"/>
          <w:b w:val="false"/>
          <w:i w:val="false"/>
          <w:color w:val="000000"/>
          <w:sz w:val="28"/>
        </w:rPr>
        <w:t>
      _____________________________</w:t>
      </w:r>
    </w:p>
    <w:bookmarkEnd w:id="353"/>
    <w:p>
      <w:pPr>
        <w:spacing w:after="0"/>
        <w:ind w:left="0"/>
        <w:jc w:val="both"/>
      </w:pPr>
      <w:r>
        <w:rPr>
          <w:rFonts w:ascii="Times New Roman"/>
          <w:b w:val="false"/>
          <w:i w:val="false"/>
          <w:color w:val="000000"/>
          <w:vertAlign w:val="superscript"/>
        </w:rPr>
        <w:t>1</w:t>
      </w:r>
      <w:r>
        <w:rPr>
          <w:rFonts w:ascii="Times New Roman"/>
          <w:b w:val="false"/>
          <w:i w:val="false"/>
          <w:color w:val="000000"/>
          <w:vertAlign w:val="superscript"/>
        </w:rPr>
        <w:t>4</w:t>
      </w:r>
      <w:r>
        <w:rPr>
          <w:rFonts w:ascii="Times New Roman"/>
          <w:b w:val="false"/>
          <w:i w:val="false"/>
          <w:color w:val="000000"/>
          <w:sz w:val="28"/>
        </w:rPr>
        <w:t xml:space="preserve"> Согласно международному опыту, производства, связанные с климатическими технологиями, являются крупным направлением поддержки за счет субсидий: средний размер субсидий по таким проектам в Испании и Канаде составляет около 20% от общего размера инвестиций, в США-10%.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3" w:id="354"/>
    <w:p>
      <w:pPr>
        <w:spacing w:after="0"/>
        <w:ind w:left="0"/>
        <w:jc w:val="both"/>
      </w:pPr>
      <w:r>
        <w:rPr>
          <w:rFonts w:ascii="Times New Roman"/>
          <w:b w:val="false"/>
          <w:i w:val="false"/>
          <w:color w:val="000000"/>
          <w:sz w:val="28"/>
        </w:rPr>
        <w:t>
      Обрабатывающая промышленность занимает 13,4% в ВВП страны. В этой связи по всем категориям товаров, кроме металлургического производства, Казахстан остается нетто-импортером: наибольший нетто-импорт наблюдается в машиностроении (7,6 трлн тенге), химической промышленности (1,4 трлн тенге) и в производстве продовольственных товаров (0,9 трлн тенге).</w:t>
      </w:r>
    </w:p>
    <w:bookmarkEnd w:id="354"/>
    <w:bookmarkStart w:name="z394" w:id="355"/>
    <w:p>
      <w:pPr>
        <w:spacing w:after="0"/>
        <w:ind w:left="0"/>
        <w:jc w:val="both"/>
      </w:pPr>
      <w:r>
        <w:rPr>
          <w:rFonts w:ascii="Times New Roman"/>
          <w:b w:val="false"/>
          <w:i w:val="false"/>
          <w:color w:val="000000"/>
          <w:sz w:val="28"/>
        </w:rPr>
        <w:t>
      Наблюдаемая недозагрузка производственных мощностей свидетельствует о недостаточном уровне конкурентоспособности отечественного производства: у 70% предприятий обрабатывающей промышленности среднегодовая загруженность не превышает 70%, а среднегодовая загруженность машиностроительных предприятий за последние годы колеблется в пределах 25-48%.</w:t>
      </w:r>
    </w:p>
    <w:bookmarkEnd w:id="355"/>
    <w:bookmarkStart w:name="z395" w:id="356"/>
    <w:p>
      <w:pPr>
        <w:spacing w:after="0"/>
        <w:ind w:left="0"/>
        <w:jc w:val="both"/>
      </w:pPr>
      <w:r>
        <w:rPr>
          <w:rFonts w:ascii="Times New Roman"/>
          <w:b w:val="false"/>
          <w:i w:val="false"/>
          <w:color w:val="000000"/>
          <w:sz w:val="28"/>
        </w:rPr>
        <w:t>
      К основным вызовам обрабатывающей промышленности, сдерживающим конкурентоспособность отечественных предприятий, относятся низкий уровень сложности товаров и технологичности производств, отсутствие современной инфраструктуры качества, сырьевая направленность экспорта, ограниченность сырья для производства, в том числе из-за недостаточной кооперации с добывающими производствами, низкого уровня защиты рынка, и дефицит кадров.</w:t>
      </w:r>
    </w:p>
    <w:bookmarkEnd w:id="356"/>
    <w:bookmarkStart w:name="z396" w:id="357"/>
    <w:p>
      <w:pPr>
        <w:spacing w:after="0"/>
        <w:ind w:left="0"/>
        <w:jc w:val="both"/>
      </w:pPr>
      <w:r>
        <w:rPr>
          <w:rFonts w:ascii="Times New Roman"/>
          <w:b w:val="false"/>
          <w:i w:val="false"/>
          <w:color w:val="000000"/>
          <w:sz w:val="28"/>
        </w:rPr>
        <w:t xml:space="preserve">
      </w:t>
      </w:r>
      <w:r>
        <w:rPr>
          <w:rFonts w:ascii="Times New Roman"/>
          <w:b/>
          <w:i w:val="false"/>
          <w:color w:val="000000"/>
          <w:sz w:val="28"/>
        </w:rPr>
        <w:t>Низкий уровень сложности производимых товаров</w:t>
      </w:r>
    </w:p>
    <w:bookmarkEnd w:id="357"/>
    <w:bookmarkStart w:name="z397" w:id="358"/>
    <w:p>
      <w:pPr>
        <w:spacing w:after="0"/>
        <w:ind w:left="0"/>
        <w:jc w:val="both"/>
      </w:pPr>
      <w:r>
        <w:rPr>
          <w:rFonts w:ascii="Times New Roman"/>
          <w:b w:val="false"/>
          <w:i w:val="false"/>
          <w:color w:val="000000"/>
          <w:sz w:val="28"/>
        </w:rPr>
        <w:t>
      Несмотря на общее развитие отрасли, доля сырьевых товаров в экспорте сохраняется на уровне 66%, а доля местных предприятий обрабатывающей промышленности, занимающихся инновационной деятельностью, - на уровне 14,8%. Как следствие, Казахстан имеет отрицательный индекс экономической сложности (-0,47) и занимает 88-е место по этому показателю среди 133 стран, отставая от соседних стран со схожей экономикой</w:t>
      </w:r>
      <w:r>
        <w:rPr>
          <w:rFonts w:ascii="Times New Roman"/>
          <w:b w:val="false"/>
          <w:i w:val="false"/>
          <w:color w:val="000000"/>
          <w:vertAlign w:val="superscript"/>
        </w:rPr>
        <w:t>15</w:t>
      </w:r>
      <w:r>
        <w:rPr>
          <w:rFonts w:ascii="Times New Roman"/>
          <w:b w:val="false"/>
          <w:i w:val="false"/>
          <w:color w:val="000000"/>
          <w:sz w:val="28"/>
        </w:rPr>
        <w:t>.</w:t>
      </w:r>
    </w:p>
    <w:bookmarkEnd w:id="358"/>
    <w:bookmarkStart w:name="z398" w:id="359"/>
    <w:p>
      <w:pPr>
        <w:spacing w:after="0"/>
        <w:ind w:left="0"/>
        <w:jc w:val="both"/>
      </w:pPr>
      <w:r>
        <w:rPr>
          <w:rFonts w:ascii="Times New Roman"/>
          <w:b w:val="false"/>
          <w:i w:val="false"/>
          <w:color w:val="000000"/>
          <w:sz w:val="28"/>
        </w:rPr>
        <w:t>
      В Казахстане в сырьевых направлениях отрасли обработка имеет низкий уровень глубины, основная доля продукции экспортируется в виде промежуточного сырья. Например, в металлургии 77% свинца, 87% алюминия и 99% меди экспортируются в необработанном или в первично обработанном виде.</w:t>
      </w:r>
    </w:p>
    <w:bookmarkEnd w:id="359"/>
    <w:bookmarkStart w:name="z399" w:id="360"/>
    <w:p>
      <w:pPr>
        <w:spacing w:after="0"/>
        <w:ind w:left="0"/>
        <w:jc w:val="both"/>
      </w:pPr>
      <w:r>
        <w:rPr>
          <w:rFonts w:ascii="Times New Roman"/>
          <w:b w:val="false"/>
          <w:i w:val="false"/>
          <w:color w:val="000000"/>
          <w:sz w:val="28"/>
        </w:rPr>
        <w:t>
      Несмотря на наличие сырьевой базы</w:t>
      </w:r>
      <w:r>
        <w:rPr>
          <w:rFonts w:ascii="Times New Roman"/>
          <w:b w:val="false"/>
          <w:i w:val="false"/>
          <w:color w:val="000000"/>
          <w:vertAlign w:val="superscript"/>
        </w:rPr>
        <w:t>16</w:t>
      </w:r>
      <w:r>
        <w:rPr>
          <w:rFonts w:ascii="Times New Roman"/>
          <w:b w:val="false"/>
          <w:i w:val="false"/>
          <w:color w:val="000000"/>
          <w:sz w:val="28"/>
        </w:rPr>
        <w:t>, в Казахстане не был создан значимый сектор газо- или нефтехимии, и только в 2022 году был запущен первый крупнотоннажный газохимический проект. Вместе с тем действующие предприятия сталкиваются с недоступностью и нехваткой сырья: объем импорта сырья и комплектующих для обрабатывающей промышленности страны составляет 50% и более, что повышает себестоимость продукции и усиливает барьеры для налаживания производства технологичных товаров. Например, импорт составляет большую часть сырья и компонентов для производства промышленного оборудования, автомобилей, сельскохозяйственной техники, а основную долю выпуска машиностроения занимают несложные сборочные производства с синимальным уровнем локализации.</w:t>
      </w:r>
    </w:p>
    <w:bookmarkEnd w:id="360"/>
    <w:p>
      <w:pPr>
        <w:spacing w:after="0"/>
        <w:ind w:left="0"/>
        <w:jc w:val="both"/>
      </w:pPr>
      <w:bookmarkStart w:name="z400" w:id="361"/>
      <w:r>
        <w:rPr>
          <w:rFonts w:ascii="Times New Roman"/>
          <w:b w:val="false"/>
          <w:i w:val="false"/>
          <w:color w:val="000000"/>
          <w:sz w:val="28"/>
        </w:rPr>
        <w:t>
      _____________________________</w:t>
      </w:r>
    </w:p>
    <w:bookmarkEnd w:id="361"/>
    <w:p>
      <w:pPr>
        <w:spacing w:after="0"/>
        <w:ind w:left="0"/>
        <w:jc w:val="both"/>
      </w:pPr>
      <w:r>
        <w:rPr>
          <w:rFonts w:ascii="Times New Roman"/>
          <w:b w:val="false"/>
          <w:i w:val="false"/>
          <w:color w:val="000000"/>
          <w:vertAlign w:val="superscript"/>
        </w:rPr>
        <w:t>15</w:t>
      </w:r>
      <w:r>
        <w:rPr>
          <w:rFonts w:ascii="Times New Roman"/>
          <w:b w:val="false"/>
          <w:i w:val="false"/>
          <w:color w:val="000000"/>
          <w:sz w:val="28"/>
        </w:rPr>
        <w:t xml:space="preserve"> Россия - 53-е место (0,19), Турция - 40-е место (0,61) и Беларусь - 29-е место (0,91).</w:t>
      </w:r>
    </w:p>
    <w:bookmarkStart w:name="z401" w:id="3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Сырье с Тенгиза, Кашагана и Карачаганака отличается высоким содержанием необходимых для газохимического производства жирных фракций газа (этан, пропан, бутан). При этом на данный момент жирные фракции выделяются только из сырья с Тенгизского месторождения, обеспечивающего производство полипропилена (KPI).</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63"/>
    <w:p>
      <w:pPr>
        <w:spacing w:after="0"/>
        <w:ind w:left="0"/>
        <w:jc w:val="both"/>
      </w:pPr>
      <w:r>
        <w:rPr>
          <w:rFonts w:ascii="Times New Roman"/>
          <w:b w:val="false"/>
          <w:i w:val="false"/>
          <w:color w:val="000000"/>
          <w:sz w:val="28"/>
        </w:rPr>
        <w:t>
      Недостаточный уровень внедрения международных технологий и стандартов в производстве является еще одним фактором, снижающим индекс экономической сложности. Этот процесс требует технологического обновления и значительных инвестиций, что, в свою очередь, оказывает влияние на конкурентоспособность отечественной продукции.</w:t>
      </w:r>
    </w:p>
    <w:bookmarkEnd w:id="363"/>
    <w:bookmarkStart w:name="z403" w:id="364"/>
    <w:p>
      <w:pPr>
        <w:spacing w:after="0"/>
        <w:ind w:left="0"/>
        <w:jc w:val="both"/>
      </w:pPr>
      <w:r>
        <w:rPr>
          <w:rFonts w:ascii="Times New Roman"/>
          <w:b w:val="false"/>
          <w:i w:val="false"/>
          <w:color w:val="000000"/>
          <w:sz w:val="28"/>
        </w:rPr>
        <w:t xml:space="preserve">
      </w:t>
      </w:r>
      <w:r>
        <w:rPr>
          <w:rFonts w:ascii="Times New Roman"/>
          <w:b/>
          <w:i w:val="false"/>
          <w:color w:val="000000"/>
          <w:sz w:val="28"/>
        </w:rPr>
        <w:t>Износ и низкая энергоэффективность производств</w:t>
      </w:r>
    </w:p>
    <w:bookmarkEnd w:id="364"/>
    <w:bookmarkStart w:name="z404" w:id="365"/>
    <w:p>
      <w:pPr>
        <w:spacing w:after="0"/>
        <w:ind w:left="0"/>
        <w:jc w:val="both"/>
      </w:pPr>
      <w:r>
        <w:rPr>
          <w:rFonts w:ascii="Times New Roman"/>
          <w:b w:val="false"/>
          <w:i w:val="false"/>
          <w:color w:val="000000"/>
          <w:sz w:val="28"/>
        </w:rPr>
        <w:t>
      Средний уровень износа составляет 41%, причем в производстве металлических изделий, напитков, вооружения, военной техники и другой продукции машиностроения этот показатель выше 45%.</w:t>
      </w:r>
    </w:p>
    <w:bookmarkEnd w:id="365"/>
    <w:bookmarkStart w:name="z405" w:id="366"/>
    <w:p>
      <w:pPr>
        <w:spacing w:after="0"/>
        <w:ind w:left="0"/>
        <w:jc w:val="both"/>
      </w:pPr>
      <w:r>
        <w:rPr>
          <w:rFonts w:ascii="Times New Roman"/>
          <w:b w:val="false"/>
          <w:i w:val="false"/>
          <w:color w:val="000000"/>
          <w:sz w:val="28"/>
        </w:rPr>
        <w:t>
      Энергозатраты в ГМК Казахстана одни из самых высоких в мире. При энергоемкости на уровне 1,6 тнэ на тысячу долларов США казахстанская продукция значительно уступает по этому показателю развивающимся и развитым рынкам, где он варьируется от 0,2 до 0,9 тнэ на тысячу долларов США.</w:t>
      </w:r>
    </w:p>
    <w:bookmarkEnd w:id="366"/>
    <w:bookmarkStart w:name="z406" w:id="36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367"/>
    <w:bookmarkStart w:name="z407" w:id="368"/>
    <w:p>
      <w:pPr>
        <w:spacing w:after="0"/>
        <w:ind w:left="0"/>
        <w:jc w:val="both"/>
      </w:pPr>
      <w:r>
        <w:rPr>
          <w:rFonts w:ascii="Times New Roman"/>
          <w:b w:val="false"/>
          <w:i w:val="false"/>
          <w:color w:val="000000"/>
          <w:sz w:val="28"/>
        </w:rPr>
        <w:t>
      Целью развития обрабатывающей промышленности к 2029 году является развитие технологичности и конкурентоспособности существующих и новых производств, которые позволят реализовать экспортный потенциал страны и обеспечить потребности внутреннего рынка, что должно привести к значимому росту выпуска отрасли.</w:t>
      </w:r>
    </w:p>
    <w:bookmarkEnd w:id="368"/>
    <w:bookmarkStart w:name="z408" w:id="369"/>
    <w:p>
      <w:pPr>
        <w:spacing w:after="0"/>
        <w:ind w:left="0"/>
        <w:jc w:val="both"/>
      </w:pPr>
      <w:r>
        <w:rPr>
          <w:rFonts w:ascii="Times New Roman"/>
          <w:b w:val="false"/>
          <w:i w:val="false"/>
          <w:color w:val="000000"/>
          <w:sz w:val="28"/>
        </w:rPr>
        <w:t>
      Приоритеты развития в обрабатывающей промышленности зависят от специфики сектора и стадии развития отрасли. Так, для отраслей с относительно сложной и ранее не производящейся в Казахстане продукцией приоритетом является привлечение транснациональных компаний с проверенными технологиями и опытом работы, а также обеспечение доступа к инфраструктуре, поддерживающим производствам и финансированию. Вместе с тем для наиболее развитых и масштабированных секторов обрабатывающей промышленности приоритетом являются повышение глубины локализации и освоение новых, более сложных компонентов.</w:t>
      </w:r>
    </w:p>
    <w:bookmarkEnd w:id="369"/>
    <w:bookmarkStart w:name="z409" w:id="370"/>
    <w:p>
      <w:pPr>
        <w:spacing w:after="0"/>
        <w:ind w:left="0"/>
        <w:jc w:val="both"/>
      </w:pPr>
      <w:r>
        <w:rPr>
          <w:rFonts w:ascii="Times New Roman"/>
          <w:b w:val="false"/>
          <w:i w:val="false"/>
          <w:color w:val="000000"/>
          <w:sz w:val="28"/>
        </w:rPr>
        <w:t>
      К общим приоритетам при этом относятся обеспечение сырьем, модернизация производств, развитие кадров и компетенций, а также обеспечение общей согласованности индустриальной политики с планами по развитию инфраструктуры и минерально-сырьевого комплекса.</w:t>
      </w:r>
    </w:p>
    <w:bookmarkEnd w:id="370"/>
    <w:bookmarkStart w:name="z410" w:id="37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технологической сложности продуктов и модернизация производств</w:t>
      </w:r>
    </w:p>
    <w:bookmarkEnd w:id="371"/>
    <w:bookmarkStart w:name="z411" w:id="372"/>
    <w:p>
      <w:pPr>
        <w:spacing w:after="0"/>
        <w:ind w:left="0"/>
        <w:jc w:val="both"/>
      </w:pPr>
      <w:r>
        <w:rPr>
          <w:rFonts w:ascii="Times New Roman"/>
          <w:b w:val="false"/>
          <w:i w:val="false"/>
          <w:color w:val="000000"/>
          <w:sz w:val="28"/>
        </w:rPr>
        <w:t>
      В рамках данного приоритета работа будет направлена на стимулирование разработки и производства качественных и технологичных товаров с высокой добавленной стоимостью, в том числе с использованием современной инфраструктуры качества.</w:t>
      </w:r>
    </w:p>
    <w:bookmarkEnd w:id="372"/>
    <w:bookmarkStart w:name="z412" w:id="37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локализации</w:t>
      </w:r>
      <w:r>
        <w:rPr>
          <w:rFonts w:ascii="Times New Roman"/>
          <w:b w:val="false"/>
          <w:i w:val="false"/>
          <w:color w:val="000000"/>
          <w:sz w:val="28"/>
        </w:rPr>
        <w:t>. В целях повышения уровня локализации будет проработан комплекс сопутствующих аспектов, в том числе касающихся методики оценки степени локализации, определения перечня приоритетных товаров, подлежащих локализации, масштабного внедрения цифровизации инфраструктуры и оценки качества локализации.</w:t>
      </w:r>
    </w:p>
    <w:bookmarkEnd w:id="373"/>
    <w:bookmarkStart w:name="z413" w:id="374"/>
    <w:p>
      <w:pPr>
        <w:spacing w:after="0"/>
        <w:ind w:left="0"/>
        <w:jc w:val="both"/>
      </w:pPr>
      <w:r>
        <w:rPr>
          <w:rFonts w:ascii="Times New Roman"/>
          <w:b w:val="false"/>
          <w:i w:val="false"/>
          <w:color w:val="000000"/>
          <w:sz w:val="28"/>
        </w:rPr>
        <w:t>
      Для поддержки локализации производств будут проработаны стимулирующие меры тарифного и налогового регулирования.</w:t>
      </w:r>
    </w:p>
    <w:bookmarkEnd w:id="374"/>
    <w:bookmarkStart w:name="z414" w:id="375"/>
    <w:p>
      <w:pPr>
        <w:spacing w:after="0"/>
        <w:ind w:left="0"/>
        <w:jc w:val="both"/>
      </w:pPr>
      <w:r>
        <w:rPr>
          <w:rFonts w:ascii="Times New Roman"/>
          <w:b w:val="false"/>
          <w:i w:val="false"/>
          <w:color w:val="000000"/>
          <w:sz w:val="28"/>
        </w:rPr>
        <w:t>
      Будут создаваться стимулы для малых и средних предприятий обрабатывающей промышленности, занимающихся производством комплектующих, сервисным обслуживанием, переработкой или утилизацией производственных и потребительских отходов.</w:t>
      </w:r>
    </w:p>
    <w:bookmarkEnd w:id="375"/>
    <w:bookmarkStart w:name="z415" w:id="376"/>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предприятий сырьевой базой</w:t>
      </w:r>
      <w:r>
        <w:rPr>
          <w:rFonts w:ascii="Times New Roman"/>
          <w:b w:val="false"/>
          <w:i w:val="false"/>
          <w:color w:val="000000"/>
          <w:sz w:val="28"/>
        </w:rPr>
        <w:t>. В целях снабжения ресурсной базы будут установлены тарифные и нетарифные ограничения по сырьевым товарам, являющимся важными составляющими для производства согласно международным обязательствам Республики Казахстан.</w:t>
      </w:r>
    </w:p>
    <w:bookmarkEnd w:id="376"/>
    <w:bookmarkStart w:name="z416" w:id="377"/>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инновационной деятельности предприятий</w:t>
      </w:r>
      <w:r>
        <w:rPr>
          <w:rFonts w:ascii="Times New Roman"/>
          <w:b w:val="false"/>
          <w:i w:val="false"/>
          <w:color w:val="000000"/>
          <w:sz w:val="28"/>
        </w:rPr>
        <w:t>. Комплекс мероприятий в данном направлении будет нацелен на системную приоритизацию, развитие и внедрение актуальных технологий и подходов по отраслям, улучшение взаимодействия между бизнесом, научно-исследовательскими и опытно-конструкторскими организациями и государством.</w:t>
      </w:r>
    </w:p>
    <w:bookmarkEnd w:id="377"/>
    <w:bookmarkStart w:name="z417" w:id="378"/>
    <w:p>
      <w:pPr>
        <w:spacing w:after="0"/>
        <w:ind w:left="0"/>
        <w:jc w:val="both"/>
      </w:pPr>
      <w:r>
        <w:rPr>
          <w:rFonts w:ascii="Times New Roman"/>
          <w:b w:val="false"/>
          <w:i w:val="false"/>
          <w:color w:val="000000"/>
          <w:sz w:val="28"/>
        </w:rPr>
        <w:t>
      Развитие отраслевых кластеров (в том числе в рамках специальных экономических и индустриальных зон), территориально концентрирующих и объединяющих промышленные предприятия с исследовательскими и образовательными организациями, будет способствовать повышению эффективности взаимодействия, привлечению и распределению ресурсов и инвестиций.</w:t>
      </w:r>
    </w:p>
    <w:bookmarkEnd w:id="378"/>
    <w:bookmarkStart w:name="z418" w:id="379"/>
    <w:p>
      <w:pPr>
        <w:spacing w:after="0"/>
        <w:ind w:left="0"/>
        <w:jc w:val="both"/>
      </w:pPr>
      <w:r>
        <w:rPr>
          <w:rFonts w:ascii="Times New Roman"/>
          <w:b w:val="false"/>
          <w:i w:val="false"/>
          <w:color w:val="000000"/>
          <w:sz w:val="28"/>
        </w:rPr>
        <w:t xml:space="preserve">
      </w:t>
      </w:r>
      <w:r>
        <w:rPr>
          <w:rFonts w:ascii="Times New Roman"/>
          <w:b/>
          <w:i w:val="false"/>
          <w:color w:val="000000"/>
          <w:sz w:val="28"/>
        </w:rPr>
        <w:t>Модернизация предприятий и снижение энергоемкости отрасли</w:t>
      </w:r>
      <w:r>
        <w:rPr>
          <w:rFonts w:ascii="Times New Roman"/>
          <w:b w:val="false"/>
          <w:i w:val="false"/>
          <w:color w:val="000000"/>
          <w:sz w:val="28"/>
        </w:rPr>
        <w:t>. Для устойчивого развития обрабатывающей промышленности страны критически важны инвестиции в модернизацию материально-технической базы с фокусом на снижении ее износа и повышении энергоэффективности. Одной из первых сфер, где будет активизирована такая работа, станут металлургические комбинаты страны.</w:t>
      </w:r>
    </w:p>
    <w:bookmarkEnd w:id="379"/>
    <w:bookmarkStart w:name="z419" w:id="380"/>
    <w:p>
      <w:pPr>
        <w:spacing w:after="0"/>
        <w:ind w:left="0"/>
        <w:jc w:val="both"/>
      </w:pPr>
      <w:r>
        <w:rPr>
          <w:rFonts w:ascii="Times New Roman"/>
          <w:b w:val="false"/>
          <w:i w:val="false"/>
          <w:color w:val="000000"/>
          <w:sz w:val="28"/>
        </w:rPr>
        <w:t>
      При этом параллельно с продолжением работы государства по стимулированию притока частных инвестиций, расширению кредитования от банковского сектора будут пересмотрены и актуализированы условия встречных обязательств к инвесторам.</w:t>
      </w:r>
    </w:p>
    <w:bookmarkEnd w:id="380"/>
    <w:bookmarkStart w:name="z420" w:id="381"/>
    <w:p>
      <w:pPr>
        <w:spacing w:after="0"/>
        <w:ind w:left="0"/>
        <w:jc w:val="both"/>
      </w:pPr>
      <w:r>
        <w:rPr>
          <w:rFonts w:ascii="Times New Roman"/>
          <w:b w:val="false"/>
          <w:i w:val="false"/>
          <w:color w:val="000000"/>
          <w:sz w:val="28"/>
        </w:rPr>
        <w:t>
      Для дальнейшего обновления производств и повышения энергоэффективности отрасли будут применены инструменты льготного финансирования мер по повышению энергоэффективности: льготные ставки кредитования, ускоренная амортизация основных средств, снижение импортных и таможенных пошлин с учетом международных обязательств.</w:t>
      </w:r>
    </w:p>
    <w:bookmarkEnd w:id="381"/>
    <w:bookmarkStart w:name="z421" w:id="38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Стимулирование спроса и защита внутреннего рынка</w:t>
      </w:r>
    </w:p>
    <w:bookmarkEnd w:id="382"/>
    <w:bookmarkStart w:name="z422" w:id="383"/>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спроса на отечественную продукцию</w:t>
      </w:r>
      <w:r>
        <w:rPr>
          <w:rFonts w:ascii="Times New Roman"/>
          <w:b w:val="false"/>
          <w:i w:val="false"/>
          <w:color w:val="000000"/>
          <w:sz w:val="28"/>
        </w:rPr>
        <w:t>. В мерах государственной поддержки сельского хозяйства, предпринимательства и инвестиций будут предусмотрены условия по стимулированию приобретения отечественных товаров, в том числе удобрений, сельскохозяйственной и железнодорожной техники. Еще одним направлением поддержки станет расширение использования механизмов офтейк-контрактов в регулируемых закупках.</w:t>
      </w:r>
    </w:p>
    <w:bookmarkEnd w:id="383"/>
    <w:bookmarkStart w:name="z423" w:id="384"/>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 внутреннего рынка и поддержка экспорта продукции</w:t>
      </w:r>
      <w:r>
        <w:rPr>
          <w:rFonts w:ascii="Times New Roman"/>
          <w:b w:val="false"/>
          <w:i w:val="false"/>
          <w:color w:val="000000"/>
          <w:sz w:val="28"/>
        </w:rPr>
        <w:t>. В рамках указанной работы будет расширено применение нетарифных инструментов защиты внутреннего рынка при сохранении открытости экономики Казахстана, особенно в отношении импортной продукции, аналоги которой производятся в стране.</w:t>
      </w:r>
    </w:p>
    <w:bookmarkEnd w:id="384"/>
    <w:bookmarkStart w:name="z424" w:id="385"/>
    <w:p>
      <w:pPr>
        <w:spacing w:after="0"/>
        <w:ind w:left="0"/>
        <w:jc w:val="both"/>
      </w:pPr>
      <w:r>
        <w:rPr>
          <w:rFonts w:ascii="Times New Roman"/>
          <w:b w:val="false"/>
          <w:i w:val="false"/>
          <w:color w:val="000000"/>
          <w:sz w:val="28"/>
        </w:rPr>
        <w:t>
      Кроме того, планируется предусмотреть временные послабления в выплатах для отечественных производителей, являющихся поставщиками оборудования для международных операторов, сопровождающиеся встречными обязательствами в части качества продукции, роста объемов производства и повышения технологической сложности.</w:t>
      </w:r>
    </w:p>
    <w:bookmarkEnd w:id="385"/>
    <w:bookmarkStart w:name="z425" w:id="386"/>
    <w:p>
      <w:pPr>
        <w:spacing w:after="0"/>
        <w:ind w:left="0"/>
        <w:jc w:val="both"/>
      </w:pPr>
      <w:r>
        <w:rPr>
          <w:rFonts w:ascii="Times New Roman"/>
          <w:b w:val="false"/>
          <w:i w:val="false"/>
          <w:color w:val="000000"/>
          <w:sz w:val="28"/>
        </w:rPr>
        <w:t>
      Для защиты от ввоза небезопасной продукции меры будут направлены на развитие соответствующей лабораторной базы. Для этого планируется провести анализ обеспеченности лабораторий и оцифровку материально- технической базы по всем отраслям с учетом региональной специфики. Результаты анализа послужат основой для дальнейшего развития лабораторной базы, модернизации лабораторий и повышения компетенций сотрудников.</w:t>
      </w:r>
    </w:p>
    <w:bookmarkEnd w:id="386"/>
    <w:bookmarkStart w:name="z426" w:id="38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Стимулирование привлечения инвестиций в отрасль</w:t>
      </w:r>
    </w:p>
    <w:bookmarkEnd w:id="387"/>
    <w:bookmarkStart w:name="z427" w:id="388"/>
    <w:p>
      <w:pPr>
        <w:spacing w:after="0"/>
        <w:ind w:left="0"/>
        <w:jc w:val="both"/>
      </w:pPr>
      <w:r>
        <w:rPr>
          <w:rFonts w:ascii="Times New Roman"/>
          <w:b w:val="false"/>
          <w:i w:val="false"/>
          <w:color w:val="000000"/>
          <w:sz w:val="28"/>
        </w:rPr>
        <w:t>
      В рамках данного направления работа будет ориентирована на увеличение объемов инвестиций в отрасль, в том числе иностранных, а также защиту интересов действующих инвесторов.</w:t>
      </w:r>
    </w:p>
    <w:bookmarkEnd w:id="388"/>
    <w:bookmarkStart w:name="z428" w:id="389"/>
    <w:p>
      <w:pPr>
        <w:spacing w:after="0"/>
        <w:ind w:left="0"/>
        <w:jc w:val="both"/>
      </w:pPr>
      <w:r>
        <w:rPr>
          <w:rFonts w:ascii="Times New Roman"/>
          <w:b w:val="false"/>
          <w:i w:val="false"/>
          <w:color w:val="000000"/>
          <w:sz w:val="28"/>
        </w:rPr>
        <w:t xml:space="preserve">
      </w:t>
      </w:r>
      <w:r>
        <w:rPr>
          <w:rFonts w:ascii="Times New Roman"/>
          <w:b/>
          <w:i w:val="false"/>
          <w:color w:val="000000"/>
          <w:sz w:val="28"/>
        </w:rPr>
        <w:t>Привлечение крупных стратегических инвесторов в приоритетные секторы отрасли</w:t>
      </w:r>
      <w:r>
        <w:rPr>
          <w:rFonts w:ascii="Times New Roman"/>
          <w:b w:val="false"/>
          <w:i w:val="false"/>
          <w:color w:val="000000"/>
          <w:sz w:val="28"/>
        </w:rPr>
        <w:t>. Наряду с общей работой по улучшению инвестиционного климата и стимулированию инвестиций будет продолжена фокусная работа по поиску крупных транснациональных компаний и их привлечению в развитие ключевых отраслей.</w:t>
      </w:r>
    </w:p>
    <w:bookmarkEnd w:id="389"/>
    <w:bookmarkStart w:name="z429" w:id="390"/>
    <w:p>
      <w:pPr>
        <w:spacing w:after="0"/>
        <w:ind w:left="0"/>
        <w:jc w:val="both"/>
      </w:pPr>
      <w:r>
        <w:rPr>
          <w:rFonts w:ascii="Times New Roman"/>
          <w:b w:val="false"/>
          <w:i w:val="false"/>
          <w:color w:val="000000"/>
          <w:sz w:val="28"/>
        </w:rPr>
        <w:t xml:space="preserve">
      </w:t>
      </w:r>
      <w:r>
        <w:rPr>
          <w:rFonts w:ascii="Times New Roman"/>
          <w:b/>
          <w:i w:val="false"/>
          <w:color w:val="000000"/>
          <w:sz w:val="28"/>
        </w:rPr>
        <w:t>Дальнейшее развитие инфраструктуры, в том числе в рамках специальных экономических зон (далее - СЭЗ) и индустриальных зон (далее - ИЗ)</w:t>
      </w:r>
      <w:r>
        <w:rPr>
          <w:rFonts w:ascii="Times New Roman"/>
          <w:b w:val="false"/>
          <w:i w:val="false"/>
          <w:color w:val="000000"/>
          <w:sz w:val="28"/>
        </w:rPr>
        <w:t>. Приоритетной задачей останется обеспечение бесперебойного доступа к ключевым факторам производства (водо-, электро- и газоснабжение, транспортные коммуникации). При этом в рамках дальнейшего развития удобных и современных СЭЗ и ИЗ наряду с обеспечением доступа к инженернокоммуникационной инфраструктуре и завершением строительства инфраструктурных объектов получат развитие дополнительные сервисы для инвесторов, будет расширено количество разрешенных видов деятельности в таких зонах.</w:t>
      </w:r>
    </w:p>
    <w:bookmarkEnd w:id="390"/>
    <w:bookmarkStart w:name="z430" w:id="391"/>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благоприятных инвестиционных условий и гарантия их соблюдения</w:t>
      </w:r>
      <w:r>
        <w:rPr>
          <w:rFonts w:ascii="Times New Roman"/>
          <w:b w:val="false"/>
          <w:i w:val="false"/>
          <w:color w:val="000000"/>
          <w:sz w:val="28"/>
        </w:rPr>
        <w:t>. Для дальнейшего улучшения инвестиционного климата в стране продолжится системное совершенствование инвестиционной политики с учетом отраслевой специфики.</w:t>
      </w:r>
    </w:p>
    <w:bookmarkEnd w:id="391"/>
    <w:bookmarkStart w:name="z431" w:id="39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компетенций</w:t>
      </w:r>
    </w:p>
    <w:bookmarkEnd w:id="392"/>
    <w:bookmarkStart w:name="z432" w:id="393"/>
    <w:p>
      <w:pPr>
        <w:spacing w:after="0"/>
        <w:ind w:left="0"/>
        <w:jc w:val="both"/>
      </w:pPr>
      <w:r>
        <w:rPr>
          <w:rFonts w:ascii="Times New Roman"/>
          <w:b w:val="false"/>
          <w:i w:val="false"/>
          <w:color w:val="000000"/>
          <w:sz w:val="28"/>
        </w:rPr>
        <w:t>
      Одним из ключевых инструментов будет расширение роли ТиПО и университетов в подготовке квалифицированных кадров, а также постоянном развитии текущих кадров.</w:t>
      </w:r>
    </w:p>
    <w:bookmarkEnd w:id="393"/>
    <w:bookmarkStart w:name="z433" w:id="394"/>
    <w:p>
      <w:pPr>
        <w:spacing w:after="0"/>
        <w:ind w:left="0"/>
        <w:jc w:val="both"/>
      </w:pPr>
      <w:r>
        <w:rPr>
          <w:rFonts w:ascii="Times New Roman"/>
          <w:b w:val="false"/>
          <w:i w:val="false"/>
          <w:color w:val="000000"/>
          <w:sz w:val="28"/>
        </w:rPr>
        <w:t>
      Предусмотрено масштабирование применения принципов непрерывного образования с уделением особого внимания вопросам развития цифровой грамотности специалистов и влияния ИИ на обрабатывающую промышленность. Субъекты промышленно-инновационной деятельности также будут активно участвовать в постоянном развитии кадрового потенциала при поддержке государства.</w:t>
      </w:r>
    </w:p>
    <w:bookmarkEnd w:id="394"/>
    <w:p>
      <w:pPr>
        <w:spacing w:after="0"/>
        <w:ind w:left="0"/>
        <w:jc w:val="both"/>
      </w:pPr>
      <w:r>
        <w:rPr>
          <w:rFonts w:ascii="Times New Roman"/>
          <w:b/>
          <w:i w:val="false"/>
          <w:color w:val="000000"/>
          <w:sz w:val="28"/>
        </w:rPr>
        <w:t>3. НОВЫЕ ТОЧКИ РОСТА</w:t>
      </w:r>
    </w:p>
    <w:p>
      <w:pPr>
        <w:spacing w:after="0"/>
        <w:ind w:left="0"/>
        <w:jc w:val="both"/>
      </w:pPr>
      <w:r>
        <w:rPr>
          <w:rFonts w:ascii="Times New Roman"/>
          <w:b/>
          <w:i w:val="false"/>
          <w:color w:val="000000"/>
          <w:sz w:val="28"/>
        </w:rPr>
        <w:t>3.1. ТРАНСПОРТНО-ЛОГИСТИЧЕСКИЙ КОМПЛЕКС</w:t>
      </w:r>
    </w:p>
    <w:bookmarkStart w:name="z436" w:id="395"/>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95"/>
    <w:bookmarkStart w:name="z437" w:id="396"/>
    <w:p>
      <w:pPr>
        <w:spacing w:after="0"/>
        <w:ind w:left="0"/>
        <w:jc w:val="both"/>
      </w:pPr>
      <w:r>
        <w:rPr>
          <w:rFonts w:ascii="Times New Roman"/>
          <w:b w:val="false"/>
          <w:i w:val="false"/>
          <w:color w:val="000000"/>
          <w:sz w:val="28"/>
        </w:rPr>
        <w:t>
      Географическое расположение Казахстана между крупными производителями товаров и рынками сбыта обуславливает его становление в качестве узлового транспортно-логистического хаба на Евразийском континенте.</w:t>
      </w:r>
    </w:p>
    <w:bookmarkEnd w:id="396"/>
    <w:bookmarkStart w:name="z438" w:id="397"/>
    <w:p>
      <w:pPr>
        <w:spacing w:after="0"/>
        <w:ind w:left="0"/>
        <w:jc w:val="both"/>
      </w:pPr>
      <w:r>
        <w:rPr>
          <w:rFonts w:ascii="Times New Roman"/>
          <w:b w:val="false"/>
          <w:i w:val="false"/>
          <w:color w:val="000000"/>
          <w:sz w:val="28"/>
        </w:rPr>
        <w:t>
      При этом развитие транспортно-логистического комплекса Казахстана столкнулось с рядом вызовов. Доля отрасли в структуре экономики страны по итогам 2023 года не восстановилась до допандемийного уровня (5,3% против 8,0% в 2019 году).</w:t>
      </w:r>
    </w:p>
    <w:bookmarkEnd w:id="397"/>
    <w:bookmarkStart w:name="z439" w:id="398"/>
    <w:p>
      <w:pPr>
        <w:spacing w:after="0"/>
        <w:ind w:left="0"/>
        <w:jc w:val="both"/>
      </w:pPr>
      <w:r>
        <w:rPr>
          <w:rFonts w:ascii="Times New Roman"/>
          <w:b w:val="false"/>
          <w:i w:val="false"/>
          <w:color w:val="000000"/>
          <w:sz w:val="28"/>
        </w:rPr>
        <w:t>
      Загруженность и износ транспортной инфраструктуры</w:t>
      </w:r>
    </w:p>
    <w:bookmarkEnd w:id="398"/>
    <w:bookmarkStart w:name="z440" w:id="399"/>
    <w:p>
      <w:pPr>
        <w:spacing w:after="0"/>
        <w:ind w:left="0"/>
        <w:jc w:val="both"/>
      </w:pPr>
      <w:r>
        <w:rPr>
          <w:rFonts w:ascii="Times New Roman"/>
          <w:b w:val="false"/>
          <w:i w:val="false"/>
          <w:color w:val="000000"/>
          <w:sz w:val="28"/>
        </w:rPr>
        <w:t>
      В Казахстане 57% магистральных железных дорог признаны изношенными. Доля двухпутных и многопутных линий составляет 31%, что существенно сдерживает пропускную способность и эффективность перевозок. В дополнение к этому отмечается недостаток мощностей на большинстве железнодорожных станций, а также морских портов Курык и Актау.</w:t>
      </w:r>
    </w:p>
    <w:bookmarkEnd w:id="399"/>
    <w:bookmarkStart w:name="z441" w:id="400"/>
    <w:p>
      <w:pPr>
        <w:spacing w:after="0"/>
        <w:ind w:left="0"/>
        <w:jc w:val="both"/>
      </w:pPr>
      <w:r>
        <w:rPr>
          <w:rFonts w:ascii="Times New Roman"/>
          <w:b w:val="false"/>
          <w:i w:val="false"/>
          <w:color w:val="000000"/>
          <w:sz w:val="28"/>
        </w:rPr>
        <w:t>
      Отмечаются проблемы автодорожной инфраструктуры, напрямую влияющие на безопасность и надежность перевозок. Формально нормативным требованиям соответствуют 92% республиканских и 87% местных автодорог при высокой нагрузке отдельных участков международных маршрутов. При этом ежегодно выявляется необходимость форсированного расширения сети дорог республиканского значения. Значимая часть дорог областного и районного значения не имеет твердого покрытия.</w:t>
      </w:r>
    </w:p>
    <w:bookmarkEnd w:id="400"/>
    <w:bookmarkStart w:name="z442" w:id="401"/>
    <w:p>
      <w:pPr>
        <w:spacing w:after="0"/>
        <w:ind w:left="0"/>
        <w:jc w:val="both"/>
      </w:pPr>
      <w:r>
        <w:rPr>
          <w:rFonts w:ascii="Times New Roman"/>
          <w:b w:val="false"/>
          <w:i w:val="false"/>
          <w:color w:val="000000"/>
          <w:sz w:val="28"/>
        </w:rPr>
        <w:t>
      Схожая ситуация отмечается и в секторе авиаперевозок, в частности в крупных аэропортах городов Астаны, Алматы и Шымкента. Объем трафика значительно превышает проектные параметры аэропортов и способствует ускоренному износу инфраструктуры.</w:t>
      </w:r>
    </w:p>
    <w:bookmarkEnd w:id="401"/>
    <w:bookmarkStart w:name="z443" w:id="402"/>
    <w:p>
      <w:pPr>
        <w:spacing w:after="0"/>
        <w:ind w:left="0"/>
        <w:jc w:val="both"/>
      </w:pPr>
      <w:r>
        <w:rPr>
          <w:rFonts w:ascii="Times New Roman"/>
          <w:b w:val="false"/>
          <w:i w:val="false"/>
          <w:color w:val="000000"/>
          <w:sz w:val="28"/>
        </w:rPr>
        <w:t>
      Одним из вызовов также является высокий неудовлетворенный спрос на рынке складских услуг.</w:t>
      </w:r>
    </w:p>
    <w:bookmarkEnd w:id="402"/>
    <w:bookmarkStart w:name="z444" w:id="403"/>
    <w:p>
      <w:pPr>
        <w:spacing w:after="0"/>
        <w:ind w:left="0"/>
        <w:jc w:val="both"/>
      </w:pPr>
      <w:r>
        <w:rPr>
          <w:rFonts w:ascii="Times New Roman"/>
          <w:b w:val="false"/>
          <w:i w:val="false"/>
          <w:color w:val="000000"/>
          <w:sz w:val="28"/>
        </w:rPr>
        <w:t>
      Дефицит и изношенность транспортного парка</w:t>
      </w:r>
    </w:p>
    <w:bookmarkEnd w:id="403"/>
    <w:bookmarkStart w:name="z445" w:id="404"/>
    <w:p>
      <w:pPr>
        <w:spacing w:after="0"/>
        <w:ind w:left="0"/>
        <w:jc w:val="both"/>
      </w:pPr>
      <w:r>
        <w:rPr>
          <w:rFonts w:ascii="Times New Roman"/>
          <w:b w:val="false"/>
          <w:i w:val="false"/>
          <w:color w:val="000000"/>
          <w:sz w:val="28"/>
        </w:rPr>
        <w:t>
      Значительная часть потерь производительного времени в железнодорожной отрасли связана с высокой нагрузкой на локомотивы.</w:t>
      </w:r>
    </w:p>
    <w:bookmarkEnd w:id="404"/>
    <w:bookmarkStart w:name="z446" w:id="405"/>
    <w:p>
      <w:pPr>
        <w:spacing w:after="0"/>
        <w:ind w:left="0"/>
        <w:jc w:val="both"/>
      </w:pPr>
      <w:r>
        <w:rPr>
          <w:rFonts w:ascii="Times New Roman"/>
          <w:b w:val="false"/>
          <w:i w:val="false"/>
          <w:color w:val="000000"/>
          <w:sz w:val="28"/>
        </w:rPr>
        <w:t>
      В Казахстане вагоны в груженом состоянии находятся в простое 33% своего времени, вызывая задержки в доставке и увеличение транспортных затрат. Нехватка также ощущается и по отдельным типам вагонов. Более того, наблюдается высокая степень износа подвижного железнодорожного состава, истекает проектный срок эксплуатации у 51% локомотивов и 40% грузовых вагонов АО "НК "К^азакстан TeMip жолы" (далее - АО "НК "КТЖ").</w:t>
      </w:r>
    </w:p>
    <w:bookmarkEnd w:id="405"/>
    <w:bookmarkStart w:name="z447" w:id="406"/>
    <w:p>
      <w:pPr>
        <w:spacing w:after="0"/>
        <w:ind w:left="0"/>
        <w:jc w:val="both"/>
      </w:pPr>
      <w:r>
        <w:rPr>
          <w:rFonts w:ascii="Times New Roman"/>
          <w:b w:val="false"/>
          <w:i w:val="false"/>
          <w:color w:val="000000"/>
          <w:sz w:val="28"/>
        </w:rPr>
        <w:t>
      Кроме того, из-за недостатка сухогрузов, паромов, танкеров и контейнеровозов казахстанский флот не может конкурировать с более развитыми флотами других стран Каспийского бассейна.</w:t>
      </w:r>
    </w:p>
    <w:bookmarkEnd w:id="406"/>
    <w:bookmarkStart w:name="z448" w:id="407"/>
    <w:p>
      <w:pPr>
        <w:spacing w:after="0"/>
        <w:ind w:left="0"/>
        <w:jc w:val="both"/>
      </w:pPr>
      <w:r>
        <w:rPr>
          <w:rFonts w:ascii="Times New Roman"/>
          <w:b w:val="false"/>
          <w:i w:val="false"/>
          <w:color w:val="000000"/>
          <w:sz w:val="28"/>
        </w:rPr>
        <w:t>
      В авиаперевозках наблюдается дефицит воздушных судов, необходимых для удовлетворения растущих потребностей населения.</w:t>
      </w:r>
    </w:p>
    <w:bookmarkEnd w:id="407"/>
    <w:bookmarkStart w:name="z449" w:id="408"/>
    <w:p>
      <w:pPr>
        <w:spacing w:after="0"/>
        <w:ind w:left="0"/>
        <w:jc w:val="both"/>
      </w:pPr>
      <w:r>
        <w:rPr>
          <w:rFonts w:ascii="Times New Roman"/>
          <w:b w:val="false"/>
          <w:i w:val="false"/>
          <w:color w:val="000000"/>
          <w:sz w:val="28"/>
        </w:rPr>
        <w:t>
      Низкая цифровизации отрасли и неэффективное управление потоками в железнодорожном секторе</w:t>
      </w:r>
    </w:p>
    <w:bookmarkEnd w:id="408"/>
    <w:bookmarkStart w:name="z450" w:id="409"/>
    <w:p>
      <w:pPr>
        <w:spacing w:after="0"/>
        <w:ind w:left="0"/>
        <w:jc w:val="both"/>
      </w:pPr>
      <w:r>
        <w:rPr>
          <w:rFonts w:ascii="Times New Roman"/>
          <w:b w:val="false"/>
          <w:i w:val="false"/>
          <w:color w:val="000000"/>
          <w:sz w:val="28"/>
        </w:rPr>
        <w:t>
      Недостаточный уровень цифровизации повсеместно наблюдается в транспортном секторе. Отсутствие единой информационной среды для обмена данными и согласований между участниками транспортного процесса, включая контрольно-надзорные органы, приводит к значительным задержкам в грузовых операциях и уменьшает привлекательность Казахстана как транзитного хаба.</w:t>
      </w:r>
    </w:p>
    <w:bookmarkEnd w:id="409"/>
    <w:bookmarkStart w:name="z451" w:id="410"/>
    <w:p>
      <w:pPr>
        <w:spacing w:after="0"/>
        <w:ind w:left="0"/>
        <w:jc w:val="both"/>
      </w:pPr>
      <w:r>
        <w:rPr>
          <w:rFonts w:ascii="Times New Roman"/>
          <w:b w:val="false"/>
          <w:i w:val="false"/>
          <w:color w:val="000000"/>
          <w:sz w:val="28"/>
        </w:rPr>
        <w:t>
      Более того, низкая операционная эффективность является одним из основных факторов, сдерживающих реализацию потенциала железнодорожной отрасли. Например, отсутствие открытых и прозрачных правил для распределения приоритезации движения между операторами, социальными и коммерческими перевозками, а также между транзитными и экспортными маршрутами. Такая ситуация создает дополнительные барьеры для малого и среднего бизнеса и несырьевого экспорта.</w:t>
      </w:r>
    </w:p>
    <w:bookmarkEnd w:id="410"/>
    <w:bookmarkStart w:name="z452" w:id="411"/>
    <w:p>
      <w:pPr>
        <w:spacing w:after="0"/>
        <w:ind w:left="0"/>
        <w:jc w:val="both"/>
      </w:pPr>
      <w:r>
        <w:rPr>
          <w:rFonts w:ascii="Times New Roman"/>
          <w:b w:val="false"/>
          <w:i w:val="false"/>
          <w:color w:val="000000"/>
          <w:sz w:val="28"/>
        </w:rPr>
        <w:t>
      Кроме того, эффективному использованию инфраструктуры и подвижного состава не способствует и текущая система тарификации железнодорожных перевозок. Из-за низкого тарифа за перевозку порожнего вагона увеличивается количество вагонов на магистральных железнодорожных сетях, что вкупе с недостатком локомотивной тяги приводит к простоям (56% времени вагоны находятся в состоянии простоя) и увеличению количества брошенных поездов</w:t>
      </w:r>
      <w:r>
        <w:rPr>
          <w:rFonts w:ascii="Times New Roman"/>
          <w:b w:val="false"/>
          <w:i w:val="false"/>
          <w:color w:val="000000"/>
          <w:vertAlign w:val="superscript"/>
        </w:rPr>
        <w:t>17</w:t>
      </w:r>
      <w:r>
        <w:rPr>
          <w:rFonts w:ascii="Times New Roman"/>
          <w:b w:val="false"/>
          <w:i w:val="false"/>
          <w:color w:val="000000"/>
          <w:sz w:val="28"/>
        </w:rPr>
        <w:t>.</w:t>
      </w:r>
    </w:p>
    <w:bookmarkEnd w:id="411"/>
    <w:bookmarkStart w:name="z453" w:id="412"/>
    <w:p>
      <w:pPr>
        <w:spacing w:after="0"/>
        <w:ind w:left="0"/>
        <w:jc w:val="both"/>
      </w:pPr>
      <w:r>
        <w:rPr>
          <w:rFonts w:ascii="Times New Roman"/>
          <w:b w:val="false"/>
          <w:i w:val="false"/>
          <w:color w:val="000000"/>
          <w:sz w:val="28"/>
        </w:rPr>
        <w:t>
      Искаженность и низкая инвестиционная привлекательность рынка</w:t>
      </w:r>
    </w:p>
    <w:bookmarkEnd w:id="412"/>
    <w:bookmarkStart w:name="z454" w:id="413"/>
    <w:p>
      <w:pPr>
        <w:spacing w:after="0"/>
        <w:ind w:left="0"/>
        <w:jc w:val="both"/>
      </w:pPr>
      <w:r>
        <w:rPr>
          <w:rFonts w:ascii="Times New Roman"/>
          <w:b w:val="false"/>
          <w:i w:val="false"/>
          <w:color w:val="000000"/>
          <w:sz w:val="28"/>
        </w:rPr>
        <w:t>
      В зависимости от вида транспортных перевозок наблюдается разный уровень государственного участия. Например, автоперевозки по сравнению с другими видами транспорта представляют собой более открытый рынок для частных операторов. В секторе авиаперевозок внутренние маршруты демонстрируют высокую конкуренцию, особенно с появлением лоукост- авиакомпаний.</w:t>
      </w:r>
    </w:p>
    <w:bookmarkEnd w:id="413"/>
    <w:bookmarkStart w:name="z455" w:id="414"/>
    <w:p>
      <w:pPr>
        <w:spacing w:after="0"/>
        <w:ind w:left="0"/>
        <w:jc w:val="both"/>
      </w:pPr>
      <w:r>
        <w:rPr>
          <w:rFonts w:ascii="Times New Roman"/>
          <w:b w:val="false"/>
          <w:i w:val="false"/>
          <w:color w:val="000000"/>
          <w:sz w:val="28"/>
        </w:rPr>
        <w:t>
      В сфере железнодорожных перевозок государственное участие остается относительно высоким, приводя к монополии на рынке и, как следствие, к низкому уровню обслуживания. Проблемы железнодорожной отрасли связаны, прежде всего, с недостаточным уровнем регулируемых железнодорожных тарифов, необходимых для покрытия текущих операционных расходов и инвестиционных затрат. Кроме этого, существуют проблемы перекрестного субсидирования низкодоходных грузов за счет высокодоходных, а также пассажирских и грузовых перевозок.</w:t>
      </w:r>
    </w:p>
    <w:bookmarkEnd w:id="414"/>
    <w:p>
      <w:pPr>
        <w:spacing w:after="0"/>
        <w:ind w:left="0"/>
        <w:jc w:val="both"/>
      </w:pPr>
      <w:bookmarkStart w:name="z456" w:id="415"/>
      <w:r>
        <w:rPr>
          <w:rFonts w:ascii="Times New Roman"/>
          <w:b w:val="false"/>
          <w:i w:val="false"/>
          <w:color w:val="000000"/>
          <w:sz w:val="28"/>
        </w:rPr>
        <w:t>
      _____________________________</w:t>
      </w:r>
    </w:p>
    <w:bookmarkEnd w:id="4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Брошенный поезд - это грузовой поезд, оставленный в ожидании локомотива, открытия дороги, погрузки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7" w:id="416"/>
    <w:p>
      <w:pPr>
        <w:spacing w:after="0"/>
        <w:ind w:left="0"/>
        <w:jc w:val="both"/>
      </w:pPr>
      <w:r>
        <w:rPr>
          <w:rFonts w:ascii="Times New Roman"/>
          <w:b w:val="false"/>
          <w:i w:val="false"/>
          <w:color w:val="000000"/>
          <w:sz w:val="28"/>
        </w:rPr>
        <w:t>
      Приоритеты развития до 2029 года</w:t>
      </w:r>
    </w:p>
    <w:bookmarkEnd w:id="416"/>
    <w:bookmarkStart w:name="z458" w:id="417"/>
    <w:p>
      <w:pPr>
        <w:spacing w:after="0"/>
        <w:ind w:left="0"/>
        <w:jc w:val="both"/>
      </w:pPr>
      <w:r>
        <w:rPr>
          <w:rFonts w:ascii="Times New Roman"/>
          <w:b w:val="false"/>
          <w:i w:val="false"/>
          <w:color w:val="000000"/>
          <w:sz w:val="28"/>
        </w:rPr>
        <w:t>
      К 2029 году Казахстан значительно укрепится в роли крупного регионального торгово-логистического хаба, а вклад предоставляемых услуг в транспорте и складировании в ВВП превысит 9%.</w:t>
      </w:r>
    </w:p>
    <w:bookmarkEnd w:id="417"/>
    <w:bookmarkStart w:name="z459" w:id="418"/>
    <w:p>
      <w:pPr>
        <w:spacing w:after="0"/>
        <w:ind w:left="0"/>
        <w:jc w:val="both"/>
      </w:pPr>
      <w:r>
        <w:rPr>
          <w:rFonts w:ascii="Times New Roman"/>
          <w:b w:val="false"/>
          <w:i w:val="false"/>
          <w:color w:val="000000"/>
          <w:sz w:val="28"/>
        </w:rPr>
        <w:t>
      Приоритетными задачами являются развитие мультимодальности и маршрута Транскаспийского международного транспортного маршрута (далее - ТМТМ), а также масштабирование направления "Север - Юг" для увеличения объемов транзитных перевозок и экспортных возможностей для казахстанских предприятий. Объем транзитных перевозок через Казахстан увеличится с 26,7 до 43,0 млн тонн и с 1,1 до 2,0 млн двадцатифутового эквивалента (ДФЭ) к 2029 году.</w:t>
      </w:r>
    </w:p>
    <w:bookmarkEnd w:id="418"/>
    <w:bookmarkStart w:name="z460" w:id="419"/>
    <w:p>
      <w:pPr>
        <w:spacing w:after="0"/>
        <w:ind w:left="0"/>
        <w:jc w:val="both"/>
      </w:pPr>
      <w:r>
        <w:rPr>
          <w:rFonts w:ascii="Times New Roman"/>
          <w:b w:val="false"/>
          <w:i w:val="false"/>
          <w:color w:val="000000"/>
          <w:sz w:val="28"/>
        </w:rPr>
        <w:t>
      Приоритеты развития отрасли включают расширение и модернизацию инфраструктуры, снижение потерь в перевозках за счет обновления и расширения транспортного парка, повышение операционной эффективности и межстрановой кооперации, а также стимулирование конкуренции и снижение доли государственного участия.</w:t>
      </w:r>
    </w:p>
    <w:bookmarkEnd w:id="419"/>
    <w:bookmarkStart w:name="z461" w:id="42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Расширение и модернизация инфраструктуры</w:t>
      </w:r>
    </w:p>
    <w:bookmarkEnd w:id="420"/>
    <w:bookmarkStart w:name="z462" w:id="421"/>
    <w:p>
      <w:pPr>
        <w:spacing w:after="0"/>
        <w:ind w:left="0"/>
        <w:jc w:val="both"/>
      </w:pPr>
      <w:r>
        <w:rPr>
          <w:rFonts w:ascii="Times New Roman"/>
          <w:b w:val="false"/>
          <w:i w:val="false"/>
          <w:color w:val="000000"/>
          <w:sz w:val="28"/>
        </w:rPr>
        <w:t>
      Расширение железнодорожной инфраструктуры. В рамках строительства и модернизации приоритетных железнодорожных путей и станций необходимо осуществить расширение существующих железнодорожных путей и пропускной способности наиболее загруженных станций на казахстанском участке международных транспортных маршрутов ТМТМ, "Север - Юг" и Северного коридора Трансазиатской железнодорожной магистрали.</w:t>
      </w:r>
    </w:p>
    <w:bookmarkEnd w:id="421"/>
    <w:bookmarkStart w:name="z463" w:id="422"/>
    <w:p>
      <w:pPr>
        <w:spacing w:after="0"/>
        <w:ind w:left="0"/>
        <w:jc w:val="both"/>
      </w:pPr>
      <w:r>
        <w:rPr>
          <w:rFonts w:ascii="Times New Roman"/>
          <w:b w:val="false"/>
          <w:i w:val="false"/>
          <w:color w:val="000000"/>
          <w:sz w:val="28"/>
        </w:rPr>
        <w:t>
      Расширение портовой инфраструктуры. Для реализации имеющегося потенциала будут проведены дноуглубительные работы, расширены и модернизированы мощности морских портов и подходных каналах, а также запущен современный контейнерный хаб. Еще одним инструментом станет повышение эффективности управления портами через привлечение международного стратегического инвестора, которое позволит увеличить пропускную способность еще на треть.</w:t>
      </w:r>
    </w:p>
    <w:bookmarkEnd w:id="422"/>
    <w:bookmarkStart w:name="z464" w:id="423"/>
    <w:p>
      <w:pPr>
        <w:spacing w:after="0"/>
        <w:ind w:left="0"/>
        <w:jc w:val="both"/>
      </w:pPr>
      <w:r>
        <w:rPr>
          <w:rFonts w:ascii="Times New Roman"/>
          <w:b w:val="false"/>
          <w:i w:val="false"/>
          <w:color w:val="000000"/>
          <w:sz w:val="28"/>
        </w:rPr>
        <w:t>
      Повышение пропускной способности и сохранности дорожной инфраструктуры. Для устранения узких мест на международных и межрегиональных автомобильных коридорах необходимо провести комплекс системных мер по завершению долгостроев, расширению маршрутов транзита в западном, центральном и южных макрорегионах и повышению пропускной способности международных пунктов пропуска на внешних границах. Также важно обеспечить внедрение инновационных стандартов строительства, ремонта и обслуживания автодорог на всех уровнях, а также внедрение систем управления рисками преждевременного их разрушения из-за большегрузного транспорта.</w:t>
      </w:r>
    </w:p>
    <w:bookmarkEnd w:id="423"/>
    <w:bookmarkStart w:name="z465" w:id="424"/>
    <w:p>
      <w:pPr>
        <w:spacing w:after="0"/>
        <w:ind w:left="0"/>
        <w:jc w:val="both"/>
      </w:pPr>
      <w:r>
        <w:rPr>
          <w:rFonts w:ascii="Times New Roman"/>
          <w:b w:val="false"/>
          <w:i w:val="false"/>
          <w:color w:val="000000"/>
          <w:sz w:val="28"/>
        </w:rPr>
        <w:t>
      Расширение инфраструктуры аэропортов. Для усиления транзитного потенциала в сфере пассажирских и грузовых авиаперевозок будут проведены модернизация и расширение международных аэропортов в городах Астане, Алматы, Актау, Актобе, Караганде и Шымкенте. Трансформация аэропортов Казахстана в региональные транзитные авиационные хабы предусматривает введение гибкой системы тарифов, обеспечение условий для привлечения специализированных кадровых ресурсов, оптимизацию таможенных процедур транзитных грузов. Кроме того, для развития грузовых перевозок планируется создание зон свободной торговли со специальными таможенными, миграционными и иными видами регулирования для зарубежных перевозчиков и логистических компаний.</w:t>
      </w:r>
    </w:p>
    <w:bookmarkEnd w:id="424"/>
    <w:bookmarkStart w:name="z466" w:id="425"/>
    <w:p>
      <w:pPr>
        <w:spacing w:after="0"/>
        <w:ind w:left="0"/>
        <w:jc w:val="both"/>
      </w:pPr>
      <w:r>
        <w:rPr>
          <w:rFonts w:ascii="Times New Roman"/>
          <w:b w:val="false"/>
          <w:i w:val="false"/>
          <w:color w:val="000000"/>
          <w:sz w:val="28"/>
        </w:rPr>
        <w:t>
      Формирование рынка качественных складских помещений. К 2029 году объем складских помещений, отвечающих требованиям наивысших классов А и В, будет доведен до 4 млн кв. м. Кроме того, предусмотрено стимулирование создания трансграничных логистических хабов на границах с Узбекистаном, Кыргызстаном, Китаем, Россией и в Каспийском регионе. Для развития логистического потенциала будут приняты меры по развитию сети высококачественных таможенных (бондовых) складов.</w:t>
      </w:r>
    </w:p>
    <w:bookmarkEnd w:id="425"/>
    <w:bookmarkStart w:name="z467"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Увеличение транспортного парка</w:t>
      </w:r>
    </w:p>
    <w:bookmarkEnd w:id="426"/>
    <w:bookmarkStart w:name="z468" w:id="427"/>
    <w:p>
      <w:pPr>
        <w:spacing w:after="0"/>
        <w:ind w:left="0"/>
        <w:jc w:val="both"/>
      </w:pPr>
      <w:r>
        <w:rPr>
          <w:rFonts w:ascii="Times New Roman"/>
          <w:b w:val="false"/>
          <w:i w:val="false"/>
          <w:color w:val="000000"/>
          <w:sz w:val="28"/>
        </w:rPr>
        <w:t>
      Обеспечение локомотивной тягой. Планируются обновление и расширение парка с учетом локомотивов, которые подлежат выводу из эксплуатации по истечении нормативного срока службы. Распределение дополнительных лицензий на тягу создаст условия для увеличения доли частного сектора и привлечения дополнительного финансирования.</w:t>
      </w:r>
    </w:p>
    <w:bookmarkEnd w:id="427"/>
    <w:bookmarkStart w:name="z469" w:id="428"/>
    <w:p>
      <w:pPr>
        <w:spacing w:after="0"/>
        <w:ind w:left="0"/>
        <w:jc w:val="both"/>
      </w:pPr>
      <w:r>
        <w:rPr>
          <w:rFonts w:ascii="Times New Roman"/>
          <w:b w:val="false"/>
          <w:i w:val="false"/>
          <w:color w:val="000000"/>
          <w:sz w:val="28"/>
        </w:rPr>
        <w:t>
      Обеспечение вагонами и стимулирование контейнеризации для мультимодальных перевозок. Планируется расширение парка подвижного состава по дефицитным категориям вагонов. Помимо этого, будут приняты меры по стимулированию контейнеризации посредством временного снижения стоимости их закупа или перевозок с их использованием.</w:t>
      </w:r>
    </w:p>
    <w:bookmarkEnd w:id="428"/>
    <w:bookmarkStart w:name="z470" w:id="429"/>
    <w:p>
      <w:pPr>
        <w:spacing w:after="0"/>
        <w:ind w:left="0"/>
        <w:jc w:val="both"/>
      </w:pPr>
      <w:r>
        <w:rPr>
          <w:rFonts w:ascii="Times New Roman"/>
          <w:b w:val="false"/>
          <w:i w:val="false"/>
          <w:color w:val="000000"/>
          <w:sz w:val="28"/>
        </w:rPr>
        <w:t>
      Обеспечение воздушными судами и морским флотом. Парк казахстанских авиакомпаний будет пополнен новыми воздушными судами через механизмы поддержки государством лизингового финансирования.</w:t>
      </w:r>
    </w:p>
    <w:bookmarkEnd w:id="429"/>
    <w:bookmarkStart w:name="z471" w:id="430"/>
    <w:p>
      <w:pPr>
        <w:spacing w:after="0"/>
        <w:ind w:left="0"/>
        <w:jc w:val="both"/>
      </w:pPr>
      <w:r>
        <w:rPr>
          <w:rFonts w:ascii="Times New Roman"/>
          <w:b w:val="false"/>
          <w:i w:val="false"/>
          <w:color w:val="000000"/>
          <w:sz w:val="28"/>
        </w:rPr>
        <w:t>
      Данная инициатива направлена на повышение уровня безопасности полетов и полное удовлетворение потребностей населения и бизнес-сообщества в стабильных, безопасных и комфортных авиаперевозках.</w:t>
      </w:r>
    </w:p>
    <w:bookmarkEnd w:id="430"/>
    <w:bookmarkStart w:name="z472" w:id="431"/>
    <w:p>
      <w:pPr>
        <w:spacing w:after="0"/>
        <w:ind w:left="0"/>
        <w:jc w:val="both"/>
      </w:pPr>
      <w:r>
        <w:rPr>
          <w:rFonts w:ascii="Times New Roman"/>
          <w:b w:val="false"/>
          <w:i w:val="false"/>
          <w:color w:val="000000"/>
          <w:sz w:val="28"/>
        </w:rPr>
        <w:t>
      Для достижения потенциала портовых мощностей и ТМТМ необходимо обеспечение нефтеналивных мощностей портов и танкерного флота. Реализация проектов по расширению торгового флота будет осуществляться на основе экономической рентабельности и коммерческой привлекательности совместно с международными партнерами с привлечением частных инвестиций.</w:t>
      </w:r>
    </w:p>
    <w:bookmarkEnd w:id="431"/>
    <w:bookmarkStart w:name="z473" w:id="43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эффективности работы транспортно</w:t>
      </w:r>
      <w:r>
        <w:rPr>
          <w:rFonts w:ascii="Times New Roman"/>
          <w:b/>
          <w:i w:val="false"/>
          <w:color w:val="000000"/>
          <w:sz w:val="28"/>
        </w:rPr>
        <w:t>логистического комплекса за счет пересмотра модели управления потоками, внедрения тарифных стимулов и интеграции цифровых технологий</w:t>
      </w:r>
    </w:p>
    <w:bookmarkEnd w:id="432"/>
    <w:bookmarkStart w:name="z474" w:id="433"/>
    <w:p>
      <w:pPr>
        <w:spacing w:after="0"/>
        <w:ind w:left="0"/>
        <w:jc w:val="both"/>
      </w:pPr>
      <w:r>
        <w:rPr>
          <w:rFonts w:ascii="Times New Roman"/>
          <w:b w:val="false"/>
          <w:i w:val="false"/>
          <w:color w:val="000000"/>
          <w:sz w:val="28"/>
        </w:rPr>
        <w:t>
      Централизация и выделение функций планирования железнодорожных перевозок и распределения ниток графика за пределы периметра национальной компании. В рамках указанной работы будут введены механизмы центральной диспетчеризации и управления железнодорожными потоками. Приоритетными задачами станут разработка и внедрение четких и прозрачных правил для определения приоритетности движения. По мере роста объемов и регулярности грузовых потоков будет оценена возможность перехода к фиксированным маршрутным расписаниям (Precision Scheduled Railroading).</w:t>
      </w:r>
    </w:p>
    <w:bookmarkEnd w:id="433"/>
    <w:bookmarkStart w:name="z475" w:id="434"/>
    <w:p>
      <w:pPr>
        <w:spacing w:after="0"/>
        <w:ind w:left="0"/>
        <w:jc w:val="both"/>
      </w:pPr>
      <w:r>
        <w:rPr>
          <w:rFonts w:ascii="Times New Roman"/>
          <w:b w:val="false"/>
          <w:i w:val="false"/>
          <w:color w:val="000000"/>
          <w:sz w:val="28"/>
        </w:rPr>
        <w:t>
      Цифровизация управления потоками и документооборота. В секторе железнодорожных перевозок планируется внедрение систем автоматизации транзитных деклараций, составления графиков и управления пассажирскими и грузовыми потоками, а также увеличения пропускной способности станций за счет цифровизации.</w:t>
      </w:r>
    </w:p>
    <w:bookmarkEnd w:id="434"/>
    <w:bookmarkStart w:name="z476" w:id="435"/>
    <w:p>
      <w:pPr>
        <w:spacing w:after="0"/>
        <w:ind w:left="0"/>
        <w:jc w:val="both"/>
      </w:pPr>
      <w:r>
        <w:rPr>
          <w:rFonts w:ascii="Times New Roman"/>
          <w:b w:val="false"/>
          <w:i w:val="false"/>
          <w:color w:val="000000"/>
          <w:sz w:val="28"/>
        </w:rPr>
        <w:t>
      Современные технологии, применяющие ИИ, могут рассчитать оптимальный график движения, основываясь на данных, полученных через камеры и датчики, а также сведениях о положении поездов и наличии груза.</w:t>
      </w:r>
    </w:p>
    <w:bookmarkEnd w:id="435"/>
    <w:bookmarkStart w:name="z477" w:id="436"/>
    <w:p>
      <w:pPr>
        <w:spacing w:after="0"/>
        <w:ind w:left="0"/>
        <w:jc w:val="both"/>
      </w:pPr>
      <w:r>
        <w:rPr>
          <w:rFonts w:ascii="Times New Roman"/>
          <w:b w:val="false"/>
          <w:i w:val="false"/>
          <w:color w:val="000000"/>
          <w:sz w:val="28"/>
        </w:rPr>
        <w:t>
      Эти системы будут интегрированы с данными о состоянии инфраструктуры, включая информацию о техническом состоянии поездов, возникающих перебоях и плановых ремонтных работах, данные о пассажирах и погодных условиях, что будет способствовать улучшению качества сервиса и принятию оперативных управленческих решений.</w:t>
      </w:r>
    </w:p>
    <w:bookmarkEnd w:id="436"/>
    <w:bookmarkStart w:name="z478" w:id="437"/>
    <w:p>
      <w:pPr>
        <w:spacing w:after="0"/>
        <w:ind w:left="0"/>
        <w:jc w:val="both"/>
      </w:pPr>
      <w:r>
        <w:rPr>
          <w:rFonts w:ascii="Times New Roman"/>
          <w:b w:val="false"/>
          <w:i w:val="false"/>
          <w:color w:val="000000"/>
          <w:sz w:val="28"/>
        </w:rPr>
        <w:t>
      Планируется внедрение системы интервального движения, целью которого является увеличение пропускной способности станций, а также системы автоведения поездов, которые будут способствовать снижению расхода топлива и износа оборудования.</w:t>
      </w:r>
    </w:p>
    <w:bookmarkEnd w:id="437"/>
    <w:bookmarkStart w:name="z479" w:id="438"/>
    <w:p>
      <w:pPr>
        <w:spacing w:after="0"/>
        <w:ind w:left="0"/>
        <w:jc w:val="both"/>
      </w:pPr>
      <w:r>
        <w:rPr>
          <w:rFonts w:ascii="Times New Roman"/>
          <w:b w:val="false"/>
          <w:i w:val="false"/>
          <w:color w:val="000000"/>
          <w:sz w:val="28"/>
        </w:rPr>
        <w:t>
      На сегодня реализуется проект по внедрению системы автоматизации таможенных процессов - "Цифровой торговый коридор". Система позволит автоматизировать таможенный транзит, выпускать транзитные декларации в автоматическом виде, отслеживать грузы и перейти на электронные документы.</w:t>
      </w:r>
    </w:p>
    <w:bookmarkEnd w:id="438"/>
    <w:bookmarkStart w:name="z480" w:id="439"/>
    <w:p>
      <w:pPr>
        <w:spacing w:after="0"/>
        <w:ind w:left="0"/>
        <w:jc w:val="both"/>
      </w:pPr>
      <w:r>
        <w:rPr>
          <w:rFonts w:ascii="Times New Roman"/>
          <w:b w:val="false"/>
          <w:i w:val="false"/>
          <w:color w:val="000000"/>
          <w:sz w:val="28"/>
        </w:rPr>
        <w:t>
      Для водного транспорта предусмотрена интеграция в мультимодальные логистические цепочки через активное развитие цифровизации и автоматизацию процессов в морских портах, включая создание единой цифровой платформы с прикаспийскими портами.</w:t>
      </w:r>
    </w:p>
    <w:bookmarkEnd w:id="439"/>
    <w:bookmarkStart w:name="z481" w:id="440"/>
    <w:p>
      <w:pPr>
        <w:spacing w:after="0"/>
        <w:ind w:left="0"/>
        <w:jc w:val="both"/>
      </w:pPr>
      <w:r>
        <w:rPr>
          <w:rFonts w:ascii="Times New Roman"/>
          <w:b w:val="false"/>
          <w:i w:val="false"/>
          <w:color w:val="000000"/>
          <w:sz w:val="28"/>
        </w:rPr>
        <w:t>
      В сфере автомобильных перевозок также будет реализован принцип "одного окна" при пересечении границы с переходом на электронные накладные и системы обмена данными между таможенными органами. Планируется переход на электронные системы eTIR (система международных автомобильных перевозок) и eCMR (электронная накладная для международных автомобильных перевозок).</w:t>
      </w:r>
    </w:p>
    <w:bookmarkEnd w:id="440"/>
    <w:bookmarkStart w:name="z482" w:id="441"/>
    <w:p>
      <w:pPr>
        <w:spacing w:after="0"/>
        <w:ind w:left="0"/>
        <w:jc w:val="both"/>
      </w:pPr>
      <w:r>
        <w:rPr>
          <w:rFonts w:ascii="Times New Roman"/>
          <w:b w:val="false"/>
          <w:i w:val="false"/>
          <w:color w:val="000000"/>
          <w:sz w:val="28"/>
        </w:rPr>
        <w:t>
      Эффективное межстрановое взаимодействие в рамках совместных предприятий по приоритетным маршрутам и упрощение пограничных переходов по всем видам перевозок. В рамках трансграничных совместных предприятий, созданных на ключевых международных маршрутах, активно будет применяться оказание услуг по принципу "одного окна". Также должны быть предусмотрены планы и обязательства по совместному финансированию инфраструктуры маршрута.</w:t>
      </w:r>
    </w:p>
    <w:bookmarkEnd w:id="441"/>
    <w:bookmarkStart w:name="z483" w:id="442"/>
    <w:p>
      <w:pPr>
        <w:spacing w:after="0"/>
        <w:ind w:left="0"/>
        <w:jc w:val="both"/>
      </w:pPr>
      <w:r>
        <w:rPr>
          <w:rFonts w:ascii="Times New Roman"/>
          <w:b w:val="false"/>
          <w:i w:val="false"/>
          <w:color w:val="000000"/>
          <w:sz w:val="28"/>
        </w:rPr>
        <w:t>
      Особое внимание будет уделено введению "зеленых коридоров" на отдельных пограничных переходах для проверенных транзитных грузов и реализации принципа "одна остановка". Также предусмотрено создание региональных транзитных транспортных узлов (хабов) на базе ключевых аэропортов в городах Астане, Алматы, Актау и Шымкенте. Хабы будут оборудованы упрощенными таможенными и пограничными режимами.</w:t>
      </w:r>
    </w:p>
    <w:bookmarkEnd w:id="442"/>
    <w:bookmarkStart w:name="z484" w:id="443"/>
    <w:p>
      <w:pPr>
        <w:spacing w:after="0"/>
        <w:ind w:left="0"/>
        <w:jc w:val="both"/>
      </w:pPr>
      <w:r>
        <w:rPr>
          <w:rFonts w:ascii="Times New Roman"/>
          <w:b w:val="false"/>
          <w:i w:val="false"/>
          <w:color w:val="000000"/>
          <w:sz w:val="28"/>
        </w:rPr>
        <w:t>
      Снижение тарифных стимулов к неэффективному использованию инфраструктуры и подвижного железнодорожного состава. В целях минимизации перевозки порожних вагонов и сокращения времени их простоя предусмотрено обновление тарифной сетки для железнодорожных перевозок. Будет пересмотрено соотношение тарифов на груженые и порожние вагоны, а также ужесточены штрафные санкции за простой вагонов на магистральной железнодорожной сети.</w:t>
      </w:r>
    </w:p>
    <w:bookmarkEnd w:id="443"/>
    <w:bookmarkStart w:name="z485" w:id="44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Увеличение конкуренции на рынке и снижение доли государственного участия</w:t>
      </w:r>
    </w:p>
    <w:bookmarkEnd w:id="444"/>
    <w:bookmarkStart w:name="z486" w:id="445"/>
    <w:p>
      <w:pPr>
        <w:spacing w:after="0"/>
        <w:ind w:left="0"/>
        <w:jc w:val="both"/>
      </w:pPr>
      <w:r>
        <w:rPr>
          <w:rFonts w:ascii="Times New Roman"/>
          <w:b w:val="false"/>
          <w:i w:val="false"/>
          <w:color w:val="000000"/>
          <w:sz w:val="28"/>
        </w:rPr>
        <w:t>
      Увеличение доли частных инвестиций в отрасли и завершение реформ национального перевозчика в железнодорожном секторе. Планируется создать условия для привлечения частных инвестиций в развитие рынка железнодорожных перевозок, обновление подвижного состава и модернизацию инфраструктуры.</w:t>
      </w:r>
    </w:p>
    <w:bookmarkEnd w:id="445"/>
    <w:bookmarkStart w:name="z487" w:id="446"/>
    <w:p>
      <w:pPr>
        <w:spacing w:after="0"/>
        <w:ind w:left="0"/>
        <w:jc w:val="both"/>
      </w:pPr>
      <w:r>
        <w:rPr>
          <w:rFonts w:ascii="Times New Roman"/>
          <w:b w:val="false"/>
          <w:i w:val="false"/>
          <w:color w:val="000000"/>
          <w:sz w:val="28"/>
        </w:rPr>
        <w:t>
      Также предусмотрено завершение трансформации АО "НК "КТЖ" в национальную транспортно-логистическую компанию с сохранением четких контуров и разграничением деятельности бизнес-единиц. По мере готовности компании будут проведены разделение и приватизация ее отдельных бизнес- вертикалей. Данные процессы будут сопровождаться пересмотром тарифной политики в железнодорожной отрасли, включая постепенный отказ от дифференциации тарифов по родам грузов и переход к новым механизмам поддержки социальных грузов. При формировании нового прейскуранта цен будут учтены фактическая себестоимость перевозок грузов и пассажиров, а также обеспечен переход на тарификацию перевозок на качественные показатели (скорость, электрифицированный, неэлектрифицированный пути, приоритетные поезда, сверхтяжелые поезда и так далее).</w:t>
      </w:r>
    </w:p>
    <w:bookmarkEnd w:id="446"/>
    <w:bookmarkStart w:name="z488" w:id="447"/>
    <w:p>
      <w:pPr>
        <w:spacing w:after="0"/>
        <w:ind w:left="0"/>
        <w:jc w:val="both"/>
      </w:pPr>
      <w:r>
        <w:rPr>
          <w:rFonts w:ascii="Times New Roman"/>
          <w:b w:val="false"/>
          <w:i w:val="false"/>
          <w:color w:val="000000"/>
          <w:sz w:val="28"/>
        </w:rPr>
        <w:t>
      Развертывание политики "открытого неба". Либерализация рынка воздушных перевозок по опыту ЕС будет способствовать появлению новых низкобюджетных авиакомпаний, которые смогут эффективно конкурировать с национальными авиаперевозчиками. Продолжится открытие прямых авиасообщений, международная авиационная сеть будет увеличена более чем на 30 новых маршрутов.</w:t>
      </w:r>
    </w:p>
    <w:bookmarkEnd w:id="447"/>
    <w:p>
      <w:pPr>
        <w:spacing w:after="0"/>
        <w:ind w:left="0"/>
        <w:jc w:val="both"/>
      </w:pPr>
      <w:r>
        <w:rPr>
          <w:rFonts w:ascii="Times New Roman"/>
          <w:b/>
          <w:i w:val="false"/>
          <w:color w:val="000000"/>
          <w:sz w:val="28"/>
        </w:rPr>
        <w:t>3.2. АГРОПРОМЫШЛЕННЫЙ КОМПЛЕКС</w:t>
      </w:r>
    </w:p>
    <w:bookmarkStart w:name="z490" w:id="44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448"/>
    <w:bookmarkStart w:name="z491" w:id="449"/>
    <w:p>
      <w:pPr>
        <w:spacing w:after="0"/>
        <w:ind w:left="0"/>
        <w:jc w:val="both"/>
      </w:pPr>
      <w:r>
        <w:rPr>
          <w:rFonts w:ascii="Times New Roman"/>
          <w:b w:val="false"/>
          <w:i w:val="false"/>
          <w:color w:val="000000"/>
          <w:sz w:val="28"/>
        </w:rPr>
        <w:t>
      Казахстан, будучи шестой страной в мире по площади сельскохозяйственных угодий на уровне 214 млн га, имеет большой аграрный потенциал. Сельское хозяйство на протяжении десятилетий сохраняет небольшой вклад в национальную экономику на уровне 5% ВВП и имеет высокую социальную значимость. При этом уровень производительности труда в сельском хозяйстве сравнительно низкий.</w:t>
      </w:r>
    </w:p>
    <w:bookmarkEnd w:id="449"/>
    <w:bookmarkStart w:name="z492" w:id="450"/>
    <w:p>
      <w:pPr>
        <w:spacing w:after="0"/>
        <w:ind w:left="0"/>
        <w:jc w:val="both"/>
      </w:pPr>
      <w:r>
        <w:rPr>
          <w:rFonts w:ascii="Times New Roman"/>
          <w:b w:val="false"/>
          <w:i w:val="false"/>
          <w:color w:val="000000"/>
          <w:sz w:val="28"/>
        </w:rPr>
        <w:t>
      В 2022 году Казахстан занял 32-е место в мировом рейтинге продовольственной безопасности</w:t>
      </w:r>
      <w:r>
        <w:rPr>
          <w:rFonts w:ascii="Times New Roman"/>
          <w:b w:val="false"/>
          <w:i w:val="false"/>
          <w:color w:val="000000"/>
          <w:vertAlign w:val="superscript"/>
        </w:rPr>
        <w:t>18</w:t>
      </w:r>
      <w:r>
        <w:rPr>
          <w:rFonts w:ascii="Times New Roman"/>
          <w:b w:val="false"/>
          <w:i w:val="false"/>
          <w:color w:val="000000"/>
          <w:sz w:val="28"/>
        </w:rPr>
        <w:t>, опередив такие страны, как Узбекистан, Россия и Азербайджан, что свидетельствует об устойчивости отрасли в стране. В то же время в Казахстане наблюдается недостаточная обеспеченность некоторыми продовольственными товарами</w:t>
      </w:r>
      <w:r>
        <w:rPr>
          <w:rFonts w:ascii="Times New Roman"/>
          <w:b w:val="false"/>
          <w:i w:val="false"/>
          <w:color w:val="000000"/>
          <w:vertAlign w:val="superscript"/>
        </w:rPr>
        <w:t>19</w:t>
      </w:r>
      <w:r>
        <w:rPr>
          <w:rFonts w:ascii="Times New Roman"/>
          <w:b w:val="false"/>
          <w:i w:val="false"/>
          <w:color w:val="000000"/>
          <w:sz w:val="28"/>
        </w:rPr>
        <w:t>, в результате чего страна является нетто-импортером продукции АПК, что в свою очередь является значимым проинфляционным фактором. Более того, дополнительные риски продовольственной безопасности связаны с тем, что по многим категориям таких товаров наблюдается высокая концентрация импорта продукции из одной страны-импортера.</w:t>
      </w:r>
    </w:p>
    <w:bookmarkEnd w:id="450"/>
    <w:bookmarkStart w:name="z493" w:id="451"/>
    <w:p>
      <w:pPr>
        <w:spacing w:after="0"/>
        <w:ind w:left="0"/>
        <w:jc w:val="both"/>
      </w:pPr>
      <w:r>
        <w:rPr>
          <w:rFonts w:ascii="Times New Roman"/>
          <w:b w:val="false"/>
          <w:i w:val="false"/>
          <w:color w:val="000000"/>
          <w:sz w:val="28"/>
        </w:rPr>
        <w:t>
      Уникальное расположение в центре Евразии предоставляет Казахстану прямой доступ к огромным рынкам сбыта России, Китая, стран Центральной Азии и обуславливает большой экспортный потенциал страны. Экспорт в основном представлен сырьевыми товарами и товарами неглубокой переработки, 61% экспорта составляет экспорт пшеницы и муки. При этом по категориям товаров достаточной обеспеченности имеется потенциал наращивания экспорта на текущих рынках, в топ-5 которых Казахстан занимает 21% объема экспорта, в том числе за счет выхода на новые рынки.</w:t>
      </w:r>
    </w:p>
    <w:bookmarkEnd w:id="451"/>
    <w:bookmarkStart w:name="z494" w:id="452"/>
    <w:p>
      <w:pPr>
        <w:spacing w:after="0"/>
        <w:ind w:left="0"/>
        <w:jc w:val="both"/>
      </w:pPr>
      <w:r>
        <w:rPr>
          <w:rFonts w:ascii="Times New Roman"/>
          <w:b w:val="false"/>
          <w:i w:val="false"/>
          <w:color w:val="000000"/>
          <w:sz w:val="28"/>
        </w:rPr>
        <w:t>
      С социальной точки зрения сельское хозяйство в Казахстане характеризуется низким уровнем дохода работников: медианный размер заработной платы в сельском хозяйстве на 34% ниже медианной заработной платы в среднем по стране.</w:t>
      </w:r>
    </w:p>
    <w:bookmarkEnd w:id="452"/>
    <w:bookmarkStart w:name="z495" w:id="453"/>
    <w:p>
      <w:pPr>
        <w:spacing w:after="0"/>
        <w:ind w:left="0"/>
        <w:jc w:val="both"/>
      </w:pPr>
      <w:r>
        <w:rPr>
          <w:rFonts w:ascii="Times New Roman"/>
          <w:b w:val="false"/>
          <w:i w:val="false"/>
          <w:color w:val="000000"/>
          <w:sz w:val="28"/>
        </w:rPr>
        <w:t>
      Анализ текущей ситуации показывает, что дальнейшее развитие сельского хозяйства определяют ряд вызовов и возможностей, связанных с производительностью сельского хозяйства, развитием производств продукции высокой степени переработки, инфраструктурой хранения и транспортировки продтоваров.</w:t>
      </w:r>
    </w:p>
    <w:bookmarkEnd w:id="453"/>
    <w:bookmarkStart w:name="z496" w:id="454"/>
    <w:p>
      <w:pPr>
        <w:spacing w:after="0"/>
        <w:ind w:left="0"/>
        <w:jc w:val="both"/>
      </w:pPr>
      <w:r>
        <w:rPr>
          <w:rFonts w:ascii="Times New Roman"/>
          <w:b w:val="false"/>
          <w:i w:val="false"/>
          <w:color w:val="000000"/>
          <w:sz w:val="28"/>
        </w:rPr>
        <w:t>
      Растениеводство</w:t>
      </w:r>
    </w:p>
    <w:bookmarkEnd w:id="454"/>
    <w:bookmarkStart w:name="z497" w:id="455"/>
    <w:p>
      <w:pPr>
        <w:spacing w:after="0"/>
        <w:ind w:left="0"/>
        <w:jc w:val="both"/>
      </w:pPr>
      <w:r>
        <w:rPr>
          <w:rFonts w:ascii="Times New Roman"/>
          <w:b w:val="false"/>
          <w:i w:val="false"/>
          <w:color w:val="000000"/>
          <w:sz w:val="28"/>
        </w:rPr>
        <w:t>
      Растениеводство занимает основную долю в производстве сельского хозяйства. В 2022 году выпуск продукции в отрасли составил 5,8 трлн тенге. Наблюдаемые уверенные темпы роста растениеводства в 21% с 2017 года преимущественно были обусловлены ростом экспорта, представленного в основном зерновыми культурами.</w:t>
      </w:r>
    </w:p>
    <w:bookmarkEnd w:id="455"/>
    <w:p>
      <w:pPr>
        <w:spacing w:after="0"/>
        <w:ind w:left="0"/>
        <w:jc w:val="both"/>
      </w:pPr>
      <w:bookmarkStart w:name="z498" w:id="456"/>
      <w:r>
        <w:rPr>
          <w:rFonts w:ascii="Times New Roman"/>
          <w:b w:val="false"/>
          <w:i w:val="false"/>
          <w:color w:val="000000"/>
          <w:sz w:val="28"/>
        </w:rPr>
        <w:t>
      ____________________________</w:t>
      </w:r>
    </w:p>
    <w:bookmarkEnd w:id="456"/>
    <w:p>
      <w:pPr>
        <w:spacing w:after="0"/>
        <w:ind w:left="0"/>
        <w:jc w:val="both"/>
      </w:pPr>
      <w:r>
        <w:rPr>
          <w:rFonts w:ascii="Times New Roman"/>
          <w:b w:val="false"/>
          <w:i w:val="false"/>
          <w:color w:val="000000"/>
          <w:vertAlign w:val="superscript"/>
        </w:rPr>
        <w:t>18</w:t>
      </w:r>
      <w:r>
        <w:rPr>
          <w:rFonts w:ascii="Times New Roman"/>
          <w:b w:val="false"/>
          <w:i w:val="false"/>
          <w:color w:val="000000"/>
          <w:sz w:val="28"/>
        </w:rPr>
        <w:t xml:space="preserve"> Индекс продовольственной безопасности (Global Food Security Index) - рейтинг стран мира по уровню продовольственной безопасности по версии аналитического агентства Economist Intelligence Unit.</w:t>
      </w:r>
    </w:p>
    <w:bookmarkStart w:name="z499" w:id="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Например, сыр, творог, мясо курицы, колбасные изделия, рыба, сахар, яблоки.</w:t>
      </w:r>
    </w:p>
    <w:bookmarkEnd w:id="457"/>
    <w:bookmarkStart w:name="z500" w:id="458"/>
    <w:p>
      <w:pPr>
        <w:spacing w:after="0"/>
        <w:ind w:left="0"/>
        <w:jc w:val="both"/>
      </w:pPr>
      <w:r>
        <w:rPr>
          <w:rFonts w:ascii="Times New Roman"/>
          <w:b w:val="false"/>
          <w:i w:val="false"/>
          <w:color w:val="000000"/>
          <w:sz w:val="28"/>
        </w:rPr>
        <w:t>
      В Казахстане посевная площадь за последние годы стабильно растет, однако наблюдается низкая диверсификация культур: 70% составляют низкопроизводительные</w:t>
      </w:r>
      <w:r>
        <w:rPr>
          <w:rFonts w:ascii="Times New Roman"/>
          <w:b w:val="false"/>
          <w:i w:val="false"/>
          <w:color w:val="000000"/>
          <w:vertAlign w:val="superscript"/>
        </w:rPr>
        <w:t>20</w:t>
      </w:r>
      <w:r>
        <w:rPr>
          <w:rFonts w:ascii="Times New Roman"/>
          <w:b w:val="false"/>
          <w:i w:val="false"/>
          <w:color w:val="000000"/>
          <w:sz w:val="28"/>
        </w:rPr>
        <w:t xml:space="preserve"> зерновые культуры. В основных зерносеющих регионах страны преобладает монокультура.</w:t>
      </w:r>
    </w:p>
    <w:bookmarkEnd w:id="458"/>
    <w:bookmarkStart w:name="z501" w:id="459"/>
    <w:p>
      <w:pPr>
        <w:spacing w:after="0"/>
        <w:ind w:left="0"/>
        <w:jc w:val="both"/>
      </w:pPr>
      <w:r>
        <w:rPr>
          <w:rFonts w:ascii="Times New Roman"/>
          <w:b w:val="false"/>
          <w:i w:val="false"/>
          <w:color w:val="000000"/>
          <w:sz w:val="28"/>
        </w:rPr>
        <w:t>
      Кроме того, Казахстан по урожайности основных культур отстает от других стран</w:t>
      </w:r>
      <w:r>
        <w:rPr>
          <w:rFonts w:ascii="Times New Roman"/>
          <w:b w:val="false"/>
          <w:i w:val="false"/>
          <w:color w:val="000000"/>
          <w:vertAlign w:val="superscript"/>
        </w:rPr>
        <w:t>21</w:t>
      </w:r>
      <w:r>
        <w:rPr>
          <w:rFonts w:ascii="Times New Roman"/>
          <w:b w:val="false"/>
          <w:i w:val="false"/>
          <w:color w:val="000000"/>
          <w:sz w:val="28"/>
        </w:rPr>
        <w:t xml:space="preserve"> со схожими климатическими условиями. Низкая эффективность использования пахотных площадей в большей степени обусловлена ухудшением почвенного покрова, медленным темпом роста орошаемых земель и низкой эффективностью водопользования, недостаточным уровнем развития семеноводства и оснащенности материально-технической базы.</w:t>
      </w:r>
    </w:p>
    <w:bookmarkEnd w:id="459"/>
    <w:bookmarkStart w:name="z502" w:id="460"/>
    <w:p>
      <w:pPr>
        <w:spacing w:after="0"/>
        <w:ind w:left="0"/>
        <w:jc w:val="both"/>
      </w:pPr>
      <w:r>
        <w:rPr>
          <w:rFonts w:ascii="Times New Roman"/>
          <w:b w:val="false"/>
          <w:i w:val="false"/>
          <w:color w:val="000000"/>
          <w:sz w:val="28"/>
        </w:rPr>
        <w:t>
      Ухудшение почвенного покрова</w:t>
      </w:r>
    </w:p>
    <w:bookmarkEnd w:id="460"/>
    <w:bookmarkStart w:name="z503" w:id="461"/>
    <w:p>
      <w:pPr>
        <w:spacing w:after="0"/>
        <w:ind w:left="0"/>
        <w:jc w:val="both"/>
      </w:pPr>
      <w:r>
        <w:rPr>
          <w:rFonts w:ascii="Times New Roman"/>
          <w:b w:val="false"/>
          <w:i w:val="false"/>
          <w:color w:val="000000"/>
          <w:sz w:val="28"/>
        </w:rPr>
        <w:t>
      В Казахстане все сильнее проявляются процессы истощения почв. В стране числится до 90 млн га эродированных или эрозионно-опасных земель, из которых 29 млн фактически эродированы.</w:t>
      </w:r>
    </w:p>
    <w:bookmarkEnd w:id="461"/>
    <w:bookmarkStart w:name="z504" w:id="462"/>
    <w:p>
      <w:pPr>
        <w:spacing w:after="0"/>
        <w:ind w:left="0"/>
        <w:jc w:val="both"/>
      </w:pPr>
      <w:r>
        <w:rPr>
          <w:rFonts w:ascii="Times New Roman"/>
          <w:b w:val="false"/>
          <w:i w:val="false"/>
          <w:color w:val="000000"/>
          <w:sz w:val="28"/>
        </w:rPr>
        <w:t>
      Согласно научным исследованиям, на сегодняшний день более 75% почв, используемых в сельском хозяйстве, подвержены деградации, доля пахотных почв с низким содержанием гумуса из обследованной площади достигает 62,5%. Все это приводит к снижению урожайности и финансовым потерям. Основные причины деградации почвенного покрова - несоблюдение технологии севооборота при посадке культур, а также недостаточный уровень применения органических и минеральных удобрений: объемы вносимых удобрений в Казахстане находятся на относительно низком уровне и составляют в среднем 23% от научно обоснованных норм.</w:t>
      </w:r>
    </w:p>
    <w:bookmarkEnd w:id="462"/>
    <w:bookmarkStart w:name="z505" w:id="463"/>
    <w:p>
      <w:pPr>
        <w:spacing w:after="0"/>
        <w:ind w:left="0"/>
        <w:jc w:val="both"/>
      </w:pPr>
      <w:r>
        <w:rPr>
          <w:rFonts w:ascii="Times New Roman"/>
          <w:b w:val="false"/>
          <w:i w:val="false"/>
          <w:color w:val="000000"/>
          <w:sz w:val="28"/>
        </w:rPr>
        <w:t>
      Недостаточный уровень развития отечественной системы семеноводства</w:t>
      </w:r>
    </w:p>
    <w:bookmarkEnd w:id="463"/>
    <w:bookmarkStart w:name="z506" w:id="464"/>
    <w:p>
      <w:pPr>
        <w:spacing w:after="0"/>
        <w:ind w:left="0"/>
        <w:jc w:val="both"/>
      </w:pPr>
      <w:r>
        <w:rPr>
          <w:rFonts w:ascii="Times New Roman"/>
          <w:b w:val="false"/>
          <w:i w:val="false"/>
          <w:color w:val="000000"/>
          <w:sz w:val="28"/>
        </w:rPr>
        <w:t>
      Одним из вызовов продовольственной безопасности в Казахстане является недостаточная обеспеченность семенами отечественной селекции: например, по семенам пшеницы данный показатель составляет 56%. По остальным культурам, таким как овощные, бахчевые и сахарная свекла, обеспеченность семенами отечественной селекции составляет менее 10%. Также немаловажной проблемой является низкий процент сортообновления: доля применяемых элитных семян в стране составляет всего 7%, в то время как в соседних государствах данный показатель равен 20%.</w:t>
      </w:r>
    </w:p>
    <w:bookmarkEnd w:id="464"/>
    <w:bookmarkStart w:name="z507" w:id="465"/>
    <w:p>
      <w:pPr>
        <w:spacing w:after="0"/>
        <w:ind w:left="0"/>
        <w:jc w:val="both"/>
      </w:pPr>
      <w:r>
        <w:rPr>
          <w:rFonts w:ascii="Times New Roman"/>
          <w:b w:val="false"/>
          <w:i w:val="false"/>
          <w:color w:val="000000"/>
          <w:sz w:val="28"/>
        </w:rPr>
        <w:t>
      Недостаточная материально-техническая оснащенность</w:t>
      </w:r>
    </w:p>
    <w:bookmarkEnd w:id="465"/>
    <w:bookmarkStart w:name="z508" w:id="466"/>
    <w:p>
      <w:pPr>
        <w:spacing w:after="0"/>
        <w:ind w:left="0"/>
        <w:jc w:val="both"/>
      </w:pPr>
      <w:r>
        <w:rPr>
          <w:rFonts w:ascii="Times New Roman"/>
          <w:b w:val="false"/>
          <w:i w:val="false"/>
          <w:color w:val="000000"/>
          <w:sz w:val="28"/>
        </w:rPr>
        <w:t>
      Парк сельскохозяйственной техники в Казахстане характеризуется высокой изношенностью: тракторов - 80%, комбайнов - 72%, посевных комплексов - 70%, в то время как в других странах средний уровень изношенности составляет 40 - 50%. Средний темп обновления техники в Казахстане составляет 4% при технологической норме 8 - 10%.</w:t>
      </w:r>
    </w:p>
    <w:bookmarkEnd w:id="466"/>
    <w:bookmarkStart w:name="z509" w:id="467"/>
    <w:p>
      <w:pPr>
        <w:spacing w:after="0"/>
        <w:ind w:left="0"/>
        <w:jc w:val="both"/>
      </w:pPr>
      <w:r>
        <w:rPr>
          <w:rFonts w:ascii="Times New Roman"/>
          <w:b w:val="false"/>
          <w:i w:val="false"/>
          <w:color w:val="000000"/>
          <w:sz w:val="28"/>
        </w:rPr>
        <w:t>
      Медленные темпы роста орошаемых земель и низкая эффективность водопользования</w:t>
      </w:r>
    </w:p>
    <w:bookmarkEnd w:id="467"/>
    <w:p>
      <w:pPr>
        <w:spacing w:after="0"/>
        <w:ind w:left="0"/>
        <w:jc w:val="both"/>
      </w:pPr>
      <w:bookmarkStart w:name="z510" w:id="468"/>
      <w:r>
        <w:rPr>
          <w:rFonts w:ascii="Times New Roman"/>
          <w:b w:val="false"/>
          <w:i w:val="false"/>
          <w:color w:val="000000"/>
          <w:sz w:val="28"/>
        </w:rPr>
        <w:t>
      ________________________________</w:t>
      </w:r>
    </w:p>
    <w:bookmarkEnd w:id="468"/>
    <w:p>
      <w:pPr>
        <w:spacing w:after="0"/>
        <w:ind w:left="0"/>
        <w:jc w:val="both"/>
      </w:pPr>
      <w:r>
        <w:rPr>
          <w:rFonts w:ascii="Times New Roman"/>
          <w:b w:val="false"/>
          <w:i w:val="false"/>
          <w:color w:val="000000"/>
          <w:vertAlign w:val="superscript"/>
        </w:rPr>
        <w:t>20</w:t>
      </w:r>
      <w:r>
        <w:rPr>
          <w:rFonts w:ascii="Times New Roman"/>
          <w:b w:val="false"/>
          <w:i w:val="false"/>
          <w:color w:val="000000"/>
          <w:sz w:val="28"/>
        </w:rPr>
        <w:t xml:space="preserve"> С точки зрения ВВП на гектар и объема валового сбора на гектар: в частности, зерновые культуры - 153 тыс. тенге/га, масличные - 205 тыс. тенге/га, свекла - 319 тыс. тенге/га, овощи и картофель - 3200 - 3900 тыс. тенге/га.</w:t>
      </w:r>
    </w:p>
    <w:bookmarkStart w:name="z511" w:id="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Рассматривались такие страны, как Китай, США, Канада, РФ, страны Северной, Центральной и Восточной Европы.</w:t>
      </w:r>
    </w:p>
    <w:bookmarkEnd w:id="469"/>
    <w:bookmarkStart w:name="z512" w:id="470"/>
    <w:p>
      <w:pPr>
        <w:spacing w:after="0"/>
        <w:ind w:left="0"/>
        <w:jc w:val="both"/>
      </w:pPr>
      <w:r>
        <w:rPr>
          <w:rFonts w:ascii="Times New Roman"/>
          <w:b w:val="false"/>
          <w:i w:val="false"/>
          <w:color w:val="000000"/>
          <w:sz w:val="28"/>
        </w:rPr>
        <w:t>
      В Казахстане наблюдается низкий уровень доли орошаемых земель и медленный темп роста их площади. Большая доля орошаемых земель не используется вследствие неисправности оросительной, дренажной сети, засоления или подтопления земель.</w:t>
      </w:r>
    </w:p>
    <w:bookmarkEnd w:id="470"/>
    <w:bookmarkStart w:name="z513" w:id="471"/>
    <w:p>
      <w:pPr>
        <w:spacing w:after="0"/>
        <w:ind w:left="0"/>
        <w:jc w:val="both"/>
      </w:pPr>
      <w:r>
        <w:rPr>
          <w:rFonts w:ascii="Times New Roman"/>
          <w:b w:val="false"/>
          <w:i w:val="false"/>
          <w:color w:val="000000"/>
          <w:sz w:val="28"/>
        </w:rPr>
        <w:t>
      Ключевым вызовом на фоне растущего дефицита воды является низкая эффективность водопользования в сельском хозяйстве: наблюдается высокий удельный расход воды на орошение, превышающий данный показатель в климатически сопоставимых странах в 2 - 3 раза. Низкая эффективность водопользования связана с большими потерями воды и незначительным уровнем внедрения водосберегающих технологий.</w:t>
      </w:r>
    </w:p>
    <w:bookmarkEnd w:id="471"/>
    <w:bookmarkStart w:name="z514" w:id="472"/>
    <w:p>
      <w:pPr>
        <w:spacing w:after="0"/>
        <w:ind w:left="0"/>
        <w:jc w:val="both"/>
      </w:pPr>
      <w:r>
        <w:rPr>
          <w:rFonts w:ascii="Times New Roman"/>
          <w:b w:val="false"/>
          <w:i w:val="false"/>
          <w:color w:val="000000"/>
          <w:sz w:val="28"/>
        </w:rPr>
        <w:t>
      Одним из ключевых факторов, сдерживающих внедрение водосберегающих технологий и модернизацию инфраструктуры, является низкий уровень тарифов на воду, сопровождающийся дополнительно субсидиями на уровне 50 - 80%.</w:t>
      </w:r>
    </w:p>
    <w:bookmarkEnd w:id="472"/>
    <w:bookmarkStart w:name="z515" w:id="473"/>
    <w:p>
      <w:pPr>
        <w:spacing w:after="0"/>
        <w:ind w:left="0"/>
        <w:jc w:val="both"/>
      </w:pPr>
      <w:r>
        <w:rPr>
          <w:rFonts w:ascii="Times New Roman"/>
          <w:b w:val="false"/>
          <w:i w:val="false"/>
          <w:color w:val="000000"/>
          <w:sz w:val="28"/>
        </w:rPr>
        <w:t>
      Животноводство</w:t>
      </w:r>
    </w:p>
    <w:bookmarkEnd w:id="473"/>
    <w:bookmarkStart w:name="z516" w:id="474"/>
    <w:p>
      <w:pPr>
        <w:spacing w:after="0"/>
        <w:ind w:left="0"/>
        <w:jc w:val="both"/>
      </w:pPr>
      <w:r>
        <w:rPr>
          <w:rFonts w:ascii="Times New Roman"/>
          <w:b w:val="false"/>
          <w:i w:val="false"/>
          <w:color w:val="000000"/>
          <w:sz w:val="28"/>
        </w:rPr>
        <w:t>
      С 2017 года в животноводческой отрасли Казахстана наблюдался рост в 20,2%, который преимущественно был обусловлен увеличением численности поголовья</w:t>
      </w:r>
      <w:r>
        <w:rPr>
          <w:rFonts w:ascii="Times New Roman"/>
          <w:b w:val="false"/>
          <w:i w:val="false"/>
          <w:color w:val="000000"/>
          <w:vertAlign w:val="superscript"/>
        </w:rPr>
        <w:t>22</w:t>
      </w:r>
      <w:r>
        <w:rPr>
          <w:rFonts w:ascii="Times New Roman"/>
          <w:b w:val="false"/>
          <w:i w:val="false"/>
          <w:color w:val="000000"/>
          <w:sz w:val="28"/>
        </w:rPr>
        <w:t>. Ключевые вызовы в животноводстве - низкая продуктивность отрасли в результате отсутствия конкурентных производств, недостаточная обеспеченность кормовой базой, нестабильная эпизоотическая обстановка.</w:t>
      </w:r>
    </w:p>
    <w:bookmarkEnd w:id="474"/>
    <w:bookmarkStart w:name="z517" w:id="475"/>
    <w:p>
      <w:pPr>
        <w:spacing w:after="0"/>
        <w:ind w:left="0"/>
        <w:jc w:val="both"/>
      </w:pPr>
      <w:r>
        <w:rPr>
          <w:rFonts w:ascii="Times New Roman"/>
          <w:b w:val="false"/>
          <w:i w:val="false"/>
          <w:color w:val="000000"/>
          <w:sz w:val="28"/>
        </w:rPr>
        <w:t>
      Низкая продуктивность отрасли</w:t>
      </w:r>
    </w:p>
    <w:bookmarkEnd w:id="475"/>
    <w:bookmarkStart w:name="z518" w:id="476"/>
    <w:p>
      <w:pPr>
        <w:spacing w:after="0"/>
        <w:ind w:left="0"/>
        <w:jc w:val="both"/>
      </w:pPr>
      <w:r>
        <w:rPr>
          <w:rFonts w:ascii="Times New Roman"/>
          <w:b w:val="false"/>
          <w:i w:val="false"/>
          <w:color w:val="000000"/>
          <w:sz w:val="28"/>
        </w:rPr>
        <w:t>
      Несмотря на растущую динамику, в Казахстане наблюдаются сравнительно низкие показатели продуктивности: средний надой молока на корову составляет 2,4 тонны, средний живой вес единицы крупного рогатого скота - 339 кг, что значительно ниже, чем в других сопоставимых странах. Отсутствие масштаба в отрасли ограничивает возможности значительного повышения эффективности производства молочной и мясной продукции.</w:t>
      </w:r>
    </w:p>
    <w:bookmarkEnd w:id="476"/>
    <w:bookmarkStart w:name="z519" w:id="477"/>
    <w:p>
      <w:pPr>
        <w:spacing w:after="0"/>
        <w:ind w:left="0"/>
        <w:jc w:val="both"/>
      </w:pPr>
      <w:r>
        <w:rPr>
          <w:rFonts w:ascii="Times New Roman"/>
          <w:b w:val="false"/>
          <w:i w:val="false"/>
          <w:color w:val="000000"/>
          <w:sz w:val="28"/>
        </w:rPr>
        <w:t>
      Недостаточная обеспеченность кормовой базой обусловлена низкой долей кормовых культур в посевной площади и дефицитом пастбищных угодий. Объемы производства кормов ниже в 2 раза, чем это требуется по зоотехническим нормам. Наблюдается дефицит пастбищных угодий, оцениваемый в 8 - 15 млн га. При этом из 179 млн га пастбищных угодий только 81 млн га являются землями сельскохозяйственного назначения, 67 млн га - неиспользуемые земли запаса, в результате чего в том числе наблюдается низкая численность поголовья скота на единицу площади пастбищ в сравнении с другими схожими климатически странами.</w:t>
      </w:r>
    </w:p>
    <w:bookmarkEnd w:id="477"/>
    <w:bookmarkStart w:name="z520" w:id="478"/>
    <w:p>
      <w:pPr>
        <w:spacing w:after="0"/>
        <w:ind w:left="0"/>
        <w:jc w:val="both"/>
      </w:pPr>
      <w:r>
        <w:rPr>
          <w:rFonts w:ascii="Times New Roman"/>
          <w:b w:val="false"/>
          <w:i w:val="false"/>
          <w:color w:val="000000"/>
          <w:sz w:val="28"/>
        </w:rPr>
        <w:t>
      Необходимость усиления эпизоотического контроля</w:t>
      </w:r>
    </w:p>
    <w:bookmarkEnd w:id="478"/>
    <w:bookmarkStart w:name="z521" w:id="479"/>
    <w:p>
      <w:pPr>
        <w:spacing w:after="0"/>
        <w:ind w:left="0"/>
        <w:jc w:val="both"/>
      </w:pPr>
      <w:r>
        <w:rPr>
          <w:rFonts w:ascii="Times New Roman"/>
          <w:b w:val="false"/>
          <w:i w:val="false"/>
          <w:color w:val="000000"/>
          <w:sz w:val="28"/>
        </w:rPr>
        <w:t>
      Кроме того, за последнее десятилетие в стране наблюдается снижение падежа, однако сохраняется потребность контроля эпизоотической ситуации. Казахстан - первая страна ЕАЭС, которая начала использовать единую систему учета сельскохозяйственных животных, а также активно проводить цифровизацию и автоматизацию процессов ветеринарии. Однако отсутствие Казахстана в списках свободных от ящура стран без практики вакцинации (60 стран) негативно сказывается на развитии экспорта в животноводстве и мясопереработке.</w:t>
      </w:r>
    </w:p>
    <w:bookmarkEnd w:id="479"/>
    <w:p>
      <w:pPr>
        <w:spacing w:after="0"/>
        <w:ind w:left="0"/>
        <w:jc w:val="both"/>
      </w:pPr>
      <w:bookmarkStart w:name="z522" w:id="480"/>
      <w:r>
        <w:rPr>
          <w:rFonts w:ascii="Times New Roman"/>
          <w:b w:val="false"/>
          <w:i w:val="false"/>
          <w:color w:val="000000"/>
          <w:sz w:val="28"/>
        </w:rPr>
        <w:t>
      _______________________________</w:t>
      </w:r>
    </w:p>
    <w:bookmarkEnd w:id="480"/>
    <w:p>
      <w:pPr>
        <w:spacing w:after="0"/>
        <w:ind w:left="0"/>
        <w:jc w:val="both"/>
      </w:pPr>
      <w:r>
        <w:rPr>
          <w:rFonts w:ascii="Times New Roman"/>
          <w:b w:val="false"/>
          <w:i w:val="false"/>
          <w:color w:val="000000"/>
          <w:vertAlign w:val="superscript"/>
        </w:rPr>
        <w:t>22</w:t>
      </w:r>
      <w:r>
        <w:rPr>
          <w:rFonts w:ascii="Times New Roman"/>
          <w:b w:val="false"/>
          <w:i w:val="false"/>
          <w:color w:val="000000"/>
          <w:sz w:val="28"/>
        </w:rPr>
        <w:t xml:space="preserve"> С 2017 года отмечается увеличение поголовья крупного рогатого скота - на 27,3% до 8,6 млн голов, овец и коз - на 19,3% до 21,8 млн голов, лошадей - на 64% до 3,9 млн голов, птиц-на 41,7% до 56,5 млн, верблюдов - на 40% до 270 тыс. голов.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3" w:id="481"/>
    <w:p>
      <w:pPr>
        <w:spacing w:after="0"/>
        <w:ind w:left="0"/>
        <w:jc w:val="both"/>
      </w:pPr>
      <w:r>
        <w:rPr>
          <w:rFonts w:ascii="Times New Roman"/>
          <w:b w:val="false"/>
          <w:i w:val="false"/>
          <w:color w:val="000000"/>
          <w:sz w:val="28"/>
        </w:rPr>
        <w:t>
      Переработка сельскохозяйственной продукции</w:t>
      </w:r>
    </w:p>
    <w:bookmarkEnd w:id="481"/>
    <w:bookmarkStart w:name="z524" w:id="482"/>
    <w:p>
      <w:pPr>
        <w:spacing w:after="0"/>
        <w:ind w:left="0"/>
        <w:jc w:val="both"/>
      </w:pPr>
      <w:r>
        <w:rPr>
          <w:rFonts w:ascii="Times New Roman"/>
          <w:b w:val="false"/>
          <w:i w:val="false"/>
          <w:color w:val="000000"/>
          <w:sz w:val="28"/>
        </w:rPr>
        <w:t>
      Дефицит сырья - один из ключевых вызовов в переработке сельхозпродукции в Казахстане. В производстве продукции растениеводства дефицит сырья обусловлен высокими экспортными ценами на него, которые не стимулируют фермеров повышать уровень внутренней переработки продукции, в результате чего наблюдается недозагрузка заводов: например, загрузка мукомольных заводов составляет 36%, масложироперерабатывающих - 32,4%. Переработку продукции животноводства сдерживает дефицит качественного сырья (молочного, мясного), соответствующего техническим и санитарным регламентам, вследствие концентрации производства в личных подсобных хозяйствах.</w:t>
      </w:r>
    </w:p>
    <w:bookmarkEnd w:id="482"/>
    <w:bookmarkStart w:name="z525" w:id="483"/>
    <w:p>
      <w:pPr>
        <w:spacing w:after="0"/>
        <w:ind w:left="0"/>
        <w:jc w:val="both"/>
      </w:pPr>
      <w:r>
        <w:rPr>
          <w:rFonts w:ascii="Times New Roman"/>
          <w:b w:val="false"/>
          <w:i w:val="false"/>
          <w:color w:val="000000"/>
          <w:sz w:val="28"/>
        </w:rPr>
        <w:t>
      Развитие переработки сельхозпродукции также сдерживают меры тарифного регулирования со стороны соседних стран, стимулирующие импорт сырьевой продукции из Казахстана и ограничивающие импорт переработанной.</w:t>
      </w:r>
    </w:p>
    <w:bookmarkEnd w:id="483"/>
    <w:bookmarkStart w:name="z526" w:id="484"/>
    <w:p>
      <w:pPr>
        <w:spacing w:after="0"/>
        <w:ind w:left="0"/>
        <w:jc w:val="both"/>
      </w:pPr>
      <w:r>
        <w:rPr>
          <w:rFonts w:ascii="Times New Roman"/>
          <w:b w:val="false"/>
          <w:i w:val="false"/>
          <w:color w:val="000000"/>
          <w:sz w:val="28"/>
        </w:rPr>
        <w:t>
      Недостаточное развитие транспортно-логистической инфраструктуры</w:t>
      </w:r>
    </w:p>
    <w:bookmarkEnd w:id="484"/>
    <w:bookmarkStart w:name="z527" w:id="485"/>
    <w:p>
      <w:pPr>
        <w:spacing w:after="0"/>
        <w:ind w:left="0"/>
        <w:jc w:val="both"/>
      </w:pPr>
      <w:r>
        <w:rPr>
          <w:rFonts w:ascii="Times New Roman"/>
          <w:b w:val="false"/>
          <w:i w:val="false"/>
          <w:color w:val="000000"/>
          <w:sz w:val="28"/>
        </w:rPr>
        <w:t>
      В последние годы в Казахстане наблюдается дефицит инфраструктуры для хранения продовольственных товаров: дефицит мощностей овощехранилищ в среднем составляет 35%. Также имеет место дефицит морозильных складов для хранения мясной и рыбной продукции.</w:t>
      </w:r>
    </w:p>
    <w:bookmarkEnd w:id="485"/>
    <w:bookmarkStart w:name="z528" w:id="486"/>
    <w:p>
      <w:pPr>
        <w:spacing w:after="0"/>
        <w:ind w:left="0"/>
        <w:jc w:val="both"/>
      </w:pPr>
      <w:r>
        <w:rPr>
          <w:rFonts w:ascii="Times New Roman"/>
          <w:b w:val="false"/>
          <w:i w:val="false"/>
          <w:color w:val="000000"/>
          <w:sz w:val="28"/>
        </w:rPr>
        <w:t>
      Проблема дефицита подвижного состава и ограниченности пропускной способности пограничных переходов влияет на сбои в поставках сельскохозяйственной продукции как внутри страны, так и на внешние рынки.</w:t>
      </w:r>
    </w:p>
    <w:bookmarkEnd w:id="486"/>
    <w:bookmarkStart w:name="z529" w:id="487"/>
    <w:p>
      <w:pPr>
        <w:spacing w:after="0"/>
        <w:ind w:left="0"/>
        <w:jc w:val="both"/>
      </w:pPr>
      <w:r>
        <w:rPr>
          <w:rFonts w:ascii="Times New Roman"/>
          <w:b w:val="false"/>
          <w:i w:val="false"/>
          <w:color w:val="000000"/>
          <w:sz w:val="28"/>
        </w:rPr>
        <w:t>
      Недостаточное развитие кооперации</w:t>
      </w:r>
    </w:p>
    <w:bookmarkEnd w:id="487"/>
    <w:bookmarkStart w:name="z530" w:id="488"/>
    <w:p>
      <w:pPr>
        <w:spacing w:after="0"/>
        <w:ind w:left="0"/>
        <w:jc w:val="both"/>
      </w:pPr>
      <w:r>
        <w:rPr>
          <w:rFonts w:ascii="Times New Roman"/>
          <w:b w:val="false"/>
          <w:i w:val="false"/>
          <w:color w:val="000000"/>
          <w:sz w:val="28"/>
        </w:rPr>
        <w:t>
      Сформированные ранее в стране сельскохозяйственные кооперативы не продемонстрировали должного уровня развития и эффективности: доля объемов производства продукции кооперативами в общем выпуске составляет менее 1%. Основной проблемой стал формальный и фиктивный принцип создания кооперативов: по итогам проверки уполномоченного органа в 2021 году было выявлено 18% бездействующих и 42% формально созданных кооперативов. В результате отмечается дефицит интереса и мотивации и доверия фермеров.</w:t>
      </w:r>
    </w:p>
    <w:bookmarkEnd w:id="488"/>
    <w:bookmarkStart w:name="z531" w:id="489"/>
    <w:p>
      <w:pPr>
        <w:spacing w:after="0"/>
        <w:ind w:left="0"/>
        <w:jc w:val="both"/>
      </w:pPr>
      <w:r>
        <w:rPr>
          <w:rFonts w:ascii="Times New Roman"/>
          <w:b w:val="false"/>
          <w:i w:val="false"/>
          <w:color w:val="000000"/>
          <w:sz w:val="28"/>
        </w:rPr>
        <w:t>
      Приоритеты развития до 2029 года</w:t>
      </w:r>
    </w:p>
    <w:bookmarkEnd w:id="489"/>
    <w:bookmarkStart w:name="z532" w:id="490"/>
    <w:p>
      <w:pPr>
        <w:spacing w:after="0"/>
        <w:ind w:left="0"/>
        <w:jc w:val="both"/>
      </w:pPr>
      <w:r>
        <w:rPr>
          <w:rFonts w:ascii="Times New Roman"/>
          <w:b w:val="false"/>
          <w:i w:val="false"/>
          <w:color w:val="000000"/>
          <w:sz w:val="28"/>
        </w:rPr>
        <w:t>
      Развитие АПК в Казахстане нацелено на достижение трех фундаментальных задач: обеспечение продовольственной безопасности по всем категориям социально значимых товаров, раскрытие экспортного потенциала продукции животноводства и переработки сельхозпродукции, а также обеспечение продуктивной занятости и достойного уровня благосостояния работников.</w:t>
      </w:r>
    </w:p>
    <w:bookmarkEnd w:id="490"/>
    <w:bookmarkStart w:name="z533" w:id="491"/>
    <w:p>
      <w:pPr>
        <w:spacing w:after="0"/>
        <w:ind w:left="0"/>
        <w:jc w:val="both"/>
      </w:pPr>
      <w:r>
        <w:rPr>
          <w:rFonts w:ascii="Times New Roman"/>
          <w:b w:val="false"/>
          <w:i w:val="false"/>
          <w:color w:val="000000"/>
          <w:sz w:val="28"/>
        </w:rPr>
        <w:t>
      Для реализации отмеченных задач в растениеводстве основными направлениями развития станут повышение эффективности использования пахотных площадей и водопользования.</w:t>
      </w:r>
    </w:p>
    <w:bookmarkEnd w:id="491"/>
    <w:bookmarkStart w:name="z534" w:id="492"/>
    <w:p>
      <w:pPr>
        <w:spacing w:after="0"/>
        <w:ind w:left="0"/>
        <w:jc w:val="both"/>
      </w:pPr>
      <w:r>
        <w:rPr>
          <w:rFonts w:ascii="Times New Roman"/>
          <w:b w:val="false"/>
          <w:i w:val="false"/>
          <w:color w:val="000000"/>
          <w:sz w:val="28"/>
        </w:rPr>
        <w:t>
      В животноводстве основными направлениями будут масштабирование отрасли путем привлечения инвесторов и развития кооперации, а также обеспечение эпизоотического благополучия. Наряду с этим одним из ключевых направлений продолжит оставаться повышение уровня переработки сельхозпродукции.</w:t>
      </w:r>
    </w:p>
    <w:bookmarkEnd w:id="492"/>
    <w:bookmarkStart w:name="z535" w:id="493"/>
    <w:p>
      <w:pPr>
        <w:spacing w:after="0"/>
        <w:ind w:left="0"/>
        <w:jc w:val="both"/>
      </w:pPr>
      <w:r>
        <w:rPr>
          <w:rFonts w:ascii="Times New Roman"/>
          <w:b w:val="false"/>
          <w:i w:val="false"/>
          <w:color w:val="000000"/>
          <w:sz w:val="28"/>
        </w:rPr>
        <w:t>
      Масштабное реформирование АПК потребует значительного увеличения финансирования отрасли с активным привлечением средств из дополнительных источников. При этом все меры государственной поддержки будут предоставляться по принципу "одного окна" в рамках единой цифровой платформы.</w:t>
      </w:r>
    </w:p>
    <w:bookmarkEnd w:id="493"/>
    <w:bookmarkStart w:name="z536" w:id="49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эффективности использования сельскохозяйственных площадей</w:t>
      </w:r>
    </w:p>
    <w:bookmarkEnd w:id="494"/>
    <w:bookmarkStart w:name="z537" w:id="495"/>
    <w:p>
      <w:pPr>
        <w:spacing w:after="0"/>
        <w:ind w:left="0"/>
        <w:jc w:val="both"/>
      </w:pPr>
      <w:r>
        <w:rPr>
          <w:rFonts w:ascii="Times New Roman"/>
          <w:b w:val="false"/>
          <w:i w:val="false"/>
          <w:color w:val="000000"/>
          <w:sz w:val="28"/>
        </w:rPr>
        <w:t>
      Повышение уровня обследования земельных ресурсов. В числе ключевых задач в данном направлении - проведение полного обследования состояния земельных ресурсов и качественный (почвенный, геоботанический, агрохимический) учет земель. В этой связи планируется внедрение стимулирующих механизмов для проведения качественного обследования земель аграриями и предоставления результатов обследований государству.</w:t>
      </w:r>
    </w:p>
    <w:bookmarkEnd w:id="495"/>
    <w:bookmarkStart w:name="z538" w:id="496"/>
    <w:p>
      <w:pPr>
        <w:spacing w:after="0"/>
        <w:ind w:left="0"/>
        <w:jc w:val="both"/>
      </w:pPr>
      <w:r>
        <w:rPr>
          <w:rFonts w:ascii="Times New Roman"/>
          <w:b w:val="false"/>
          <w:i w:val="false"/>
          <w:color w:val="000000"/>
          <w:sz w:val="28"/>
        </w:rPr>
        <w:t>
      Создание единой государственной информационно-аналитической цифровой платформы мониторинга земель. Одним из важных направлений станет реализация государственной цифровой платформы, интегрирующей различные сельскохозяйственные данные о земельных ресурсах (спутниковые снимки, данные о назначении и использовании земель с платформы земельного кадастра, данные исследований почвенного покрова, схемы севооборота и другие), а также климатические показатели (температура, влажность и другие). На базе углубленной аналитики будут внедрены автоматизированные подходы по оптимальным культурам, севообороту, уровню и типам применяемых удобрений, семян, пестицидов, использованию воды.</w:t>
      </w:r>
    </w:p>
    <w:bookmarkEnd w:id="496"/>
    <w:bookmarkStart w:name="z539" w:id="497"/>
    <w:p>
      <w:pPr>
        <w:spacing w:after="0"/>
        <w:ind w:left="0"/>
        <w:jc w:val="both"/>
      </w:pPr>
      <w:r>
        <w:rPr>
          <w:rFonts w:ascii="Times New Roman"/>
          <w:b w:val="false"/>
          <w:i w:val="false"/>
          <w:color w:val="000000"/>
          <w:sz w:val="28"/>
        </w:rPr>
        <w:t>
      Снижение деградации почвенного покрова и восстановление земель. На базе анализа данных исследований почвенного покрова необходимо внедрение современных методов анализа состояния земель и прогнозирования негативных изменений почвенного покрова, которые послужат основой для составления плана восстановительных, мелиорационных работ (осушение, вспашка, боронование, внесение органических и минеральных удобрений и другое), направленных на улучшение свойств почвы и условий для сельскохозяйственного использования земель.</w:t>
      </w:r>
    </w:p>
    <w:bookmarkEnd w:id="497"/>
    <w:bookmarkStart w:name="z540" w:id="498"/>
    <w:p>
      <w:pPr>
        <w:spacing w:after="0"/>
        <w:ind w:left="0"/>
        <w:jc w:val="both"/>
      </w:pPr>
      <w:r>
        <w:rPr>
          <w:rFonts w:ascii="Times New Roman"/>
          <w:b w:val="false"/>
          <w:i w:val="false"/>
          <w:color w:val="000000"/>
          <w:sz w:val="28"/>
        </w:rPr>
        <w:t>
      Стимулирование выращивания наиболее выгодных для данного участка земли культур, использования оптимального уровня удобрений. Традиционно во всем мире АПК является дотационной отраслью, однако система государственной поддержки должна служить инструментом повышения эффективности отрасли.</w:t>
      </w:r>
    </w:p>
    <w:bookmarkEnd w:id="498"/>
    <w:bookmarkStart w:name="z541" w:id="499"/>
    <w:p>
      <w:pPr>
        <w:spacing w:after="0"/>
        <w:ind w:left="0"/>
        <w:jc w:val="both"/>
      </w:pPr>
      <w:r>
        <w:rPr>
          <w:rFonts w:ascii="Times New Roman"/>
          <w:b w:val="false"/>
          <w:i w:val="false"/>
          <w:color w:val="000000"/>
          <w:sz w:val="28"/>
        </w:rPr>
        <w:t>
      Важным направлением станет поэтапное наложение встречных обязательств и внедрение субсидий, стимулирующих фермеров повышать объемы производства, выращивать оптимальные для данного участка культуры, использовать оптимальный уровень агроинпутов (удобрений, пестицидов и других) на основе научно обоснованных рекомендаций, согласованных с представителями бизнес-сообщества. Также важным направлением будет поэтапный переход системы государственной поддержки с мер "желтой корзины" на меры "зеленой корзины", играющие основную роль в системе под держки АПК в развитых странах.</w:t>
      </w:r>
    </w:p>
    <w:bookmarkEnd w:id="499"/>
    <w:bookmarkStart w:name="z542" w:id="500"/>
    <w:p>
      <w:pPr>
        <w:spacing w:after="0"/>
        <w:ind w:left="0"/>
        <w:jc w:val="both"/>
      </w:pPr>
      <w:r>
        <w:rPr>
          <w:rFonts w:ascii="Times New Roman"/>
          <w:b w:val="false"/>
          <w:i w:val="false"/>
          <w:color w:val="000000"/>
          <w:sz w:val="28"/>
        </w:rPr>
        <w:t>
      Обновление материально-технической базы предполагается обеспечить за счет ускорения обновления сельскохозяйственной техники до технологического норматива - 8 - 10%. Запланировано проведение работы по реализации программ субсидирования инвестиционных затрат и субсидирования ставок вознаграждения по кредитам, лизингу на приобретение сельскохозяйственной техники с актуализацией нормативов для расчета инвестиционных субсидий с учетом текущих экономических условий и потребностей отрасли. Кроме того, будут рассмотрены возможности расширения текущих финансовых инструментов, например, увеличение объемов финансирования льготного лизинга сельхозтехники.</w:t>
      </w:r>
    </w:p>
    <w:bookmarkEnd w:id="500"/>
    <w:bookmarkStart w:name="z543" w:id="50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водопользования</w:t>
      </w:r>
    </w:p>
    <w:bookmarkEnd w:id="501"/>
    <w:bookmarkStart w:name="z544" w:id="502"/>
    <w:p>
      <w:pPr>
        <w:spacing w:after="0"/>
        <w:ind w:left="0"/>
        <w:jc w:val="both"/>
      </w:pPr>
      <w:r>
        <w:rPr>
          <w:rFonts w:ascii="Times New Roman"/>
          <w:b w:val="false"/>
          <w:i w:val="false"/>
          <w:color w:val="000000"/>
          <w:sz w:val="28"/>
        </w:rPr>
        <w:t>
      Повышение уровня применения водосберегающих технологий. Для повышения доступности применения водосберегающих технологий будет рассмотрена возможность увеличения норматива субсидий на ирригационные системы, подведение необходимой инфраструктуры для забора и подачи воды, и водосберегающих технологий. Кроме того, в целях снижения себестоимости планируется проработать возможность организации отечественного производства ирригационных систем. Для оптимизации использования воды будут приняты меры по стимулированию аграриев к использованию умных автоматизированных систем управления орошением на основе таких показателей, как влажность почвы, температура, индекс вегетации и других.</w:t>
      </w:r>
    </w:p>
    <w:bookmarkEnd w:id="502"/>
    <w:bookmarkStart w:name="z545" w:id="503"/>
    <w:p>
      <w:pPr>
        <w:spacing w:after="0"/>
        <w:ind w:left="0"/>
        <w:jc w:val="both"/>
      </w:pPr>
      <w:r>
        <w:rPr>
          <w:rFonts w:ascii="Times New Roman"/>
          <w:b w:val="false"/>
          <w:i w:val="false"/>
          <w:color w:val="000000"/>
          <w:sz w:val="28"/>
        </w:rPr>
        <w:t>
      Обучение фермеров практикам бережливого водопользования. В рамках данной работы предполагается проработать возможность организации обучающих курсов для фермеров по практикам бережливого водопользования (например, эффективное планирование орошения в зависимости от культур, использование специальных покрытий почвы для регулирования испарения и другое), применению инновационных водосберегающих технологий.</w:t>
      </w:r>
    </w:p>
    <w:bookmarkEnd w:id="503"/>
    <w:bookmarkStart w:name="z546" w:id="504"/>
    <w:p>
      <w:pPr>
        <w:spacing w:after="0"/>
        <w:ind w:left="0"/>
        <w:jc w:val="both"/>
      </w:pPr>
      <w:r>
        <w:rPr>
          <w:rFonts w:ascii="Times New Roman"/>
          <w:b w:val="false"/>
          <w:i w:val="false"/>
          <w:color w:val="000000"/>
          <w:sz w:val="28"/>
        </w:rPr>
        <w:t>
      Регулирование тарифов. В данном направлении запланированы пересмотр тарифов для стимулирования бережливого использования воды, модернизация водохозяйственной инфраструктуры для повышения эффективности систем ирригации и распространение использования альтернативных источников воды в орошении, включая очищенные сточные, талые, минерализованные и другие воды.</w:t>
      </w:r>
    </w:p>
    <w:bookmarkEnd w:id="504"/>
    <w:bookmarkStart w:name="z547" w:id="50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Масштабирование животноводства</w:t>
      </w:r>
    </w:p>
    <w:bookmarkEnd w:id="505"/>
    <w:bookmarkStart w:name="z548" w:id="506"/>
    <w:p>
      <w:pPr>
        <w:spacing w:after="0"/>
        <w:ind w:left="0"/>
        <w:jc w:val="both"/>
      </w:pPr>
      <w:r>
        <w:rPr>
          <w:rFonts w:ascii="Times New Roman"/>
          <w:b w:val="false"/>
          <w:i w:val="false"/>
          <w:color w:val="000000"/>
          <w:sz w:val="28"/>
        </w:rPr>
        <w:t>
      Привлечение инвесторов. Привлечение крупных зарубежных игроков, транснациональных компаний в сферу животноводства будет способствовать трансферу технологий, внедрению высоких стандартов качества и безопасности продукции с повышением ее конкурентоспособности на мировом рынке. Крупные транснациональные компании предоставят доступ к рынкам сбыта, обеспечивая новые возможности для экспорта местной продукции, что также повлечет рост продуктивности работников и увеличение рабочих мест.</w:t>
      </w:r>
    </w:p>
    <w:bookmarkEnd w:id="506"/>
    <w:bookmarkStart w:name="z549" w:id="507"/>
    <w:p>
      <w:pPr>
        <w:spacing w:after="0"/>
        <w:ind w:left="0"/>
        <w:jc w:val="both"/>
      </w:pPr>
      <w:r>
        <w:rPr>
          <w:rFonts w:ascii="Times New Roman"/>
          <w:b w:val="false"/>
          <w:i w:val="false"/>
          <w:color w:val="000000"/>
          <w:sz w:val="28"/>
        </w:rPr>
        <w:t>
      Развитие кооперации. Кооперативы играют важную роль в повышении эффективности животноводства, предоставляя мелким и средним производителям доступ к капиталу, общим ресурсам и рынкам сбыта, позволяя членам кооператива вкладывать средства в современные технологии, инфраструктуру, улучшать производственные процессы и качество продукции. В этой связи планируется проработка новых подходов к кооперации фермеров на примере лучших практик: финансовые механизмы, обеспечивающие достаточную поддержку от регистрации до организации сбыта, а также организационные механизмы, обеспечивающие защиту интересов сельскохозяйственных кооперативов, консультационную поддержку населения и контроль эффективности их деятельности.</w:t>
      </w:r>
    </w:p>
    <w:bookmarkEnd w:id="507"/>
    <w:bookmarkStart w:name="z550" w:id="508"/>
    <w:p>
      <w:pPr>
        <w:spacing w:after="0"/>
        <w:ind w:left="0"/>
        <w:jc w:val="both"/>
      </w:pPr>
      <w:r>
        <w:rPr>
          <w:rFonts w:ascii="Times New Roman"/>
          <w:b w:val="false"/>
          <w:i w:val="false"/>
          <w:color w:val="000000"/>
          <w:sz w:val="28"/>
        </w:rPr>
        <w:t>
      Усиление мер контроля и профилактики здоровья скота. Работу в рамках данного приоритета в животноводстве планируется направить на снижение очагов заболеваний животных, получение статуса страны, свободной от ящура без практики вакцинации. Будут разработаны механизмы, стимулирующие фермеров к усилению контроля за состоянием скота, проведению ветеринарных мероприятий, использованию современных цифровых технологий, решений по контролю за состоянием здоровья скота.</w:t>
      </w:r>
    </w:p>
    <w:bookmarkEnd w:id="508"/>
    <w:bookmarkStart w:name="z551" w:id="50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Стимулирование переработки сельскохозяйственной продукции</w:t>
      </w:r>
    </w:p>
    <w:bookmarkEnd w:id="509"/>
    <w:bookmarkStart w:name="z552" w:id="510"/>
    <w:p>
      <w:pPr>
        <w:spacing w:after="0"/>
        <w:ind w:left="0"/>
        <w:jc w:val="both"/>
      </w:pPr>
      <w:r>
        <w:rPr>
          <w:rFonts w:ascii="Times New Roman"/>
          <w:b w:val="false"/>
          <w:i w:val="false"/>
          <w:color w:val="000000"/>
          <w:sz w:val="28"/>
        </w:rPr>
        <w:t>
      Внедрение мер, стимулирующих переработку сельхозпродукции. В целях стимулирования переработки сельскохозяйственной продукции предполагается усовершенствование налоговой политики, рассмотрение временных послаблений для предприятий, занимающихся экспортом переработанной сельскохозяйственной продукции. Кроме того, будут внедрены меры нетарифного и тарифного регулирования, стимулирующие переработку сырья.</w:t>
      </w:r>
    </w:p>
    <w:bookmarkEnd w:id="510"/>
    <w:bookmarkStart w:name="z553" w:id="511"/>
    <w:p>
      <w:pPr>
        <w:spacing w:after="0"/>
        <w:ind w:left="0"/>
        <w:jc w:val="both"/>
      </w:pPr>
      <w:r>
        <w:rPr>
          <w:rFonts w:ascii="Times New Roman"/>
          <w:b w:val="false"/>
          <w:i w:val="false"/>
          <w:color w:val="000000"/>
          <w:sz w:val="28"/>
        </w:rPr>
        <w:t>
      Создание и расширение перерабатывающих производств. В рамках реализации проектов строительства и расширения перерабатывающих производств продолжится работа по субсидированию инвестиционных затрат, ставок вознаграждения по кредитам на пополнение оборотных средств и лизинг оборудования для предприятий переработки сельскохозяйственного сырья, в том числе для производства продуктов глубокой переработки.</w:t>
      </w:r>
    </w:p>
    <w:bookmarkEnd w:id="511"/>
    <w:bookmarkStart w:name="z554" w:id="51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Поддержка экспорта</w:t>
      </w:r>
    </w:p>
    <w:bookmarkEnd w:id="512"/>
    <w:bookmarkStart w:name="z555" w:id="513"/>
    <w:p>
      <w:pPr>
        <w:spacing w:after="0"/>
        <w:ind w:left="0"/>
        <w:jc w:val="both"/>
      </w:pPr>
      <w:r>
        <w:rPr>
          <w:rFonts w:ascii="Times New Roman"/>
          <w:b w:val="false"/>
          <w:i w:val="false"/>
          <w:color w:val="000000"/>
          <w:sz w:val="28"/>
        </w:rPr>
        <w:t>
      Расширение экспортных рынков. Ключевой задачей для реализации фундаментальных целей АПК по наращиванию экспорта является расширение экспортных рынков. Для Казахстана особый интерес представляет рынок Китая, который имеет большую потребительскую базу. Вторым по значимости направлением по расширению экспорта является экспорт "халал" продукции в страны Персидского залива и Организации исламского сотрудничества (OIC). Правительством будут проработаны всесторонние механизмы поддержки местных производителей и экспортеров, особенно в области сертификации и внедрения требуемых стандартов. Кроме того, важным направлением работы станет заключение двусторонних и многосторонних торговых соглашений, направленных на снижение нетарифных барьеров, упрощение таможенных процедур и улучшение торговых отношений. Возрастает необходимость открытия торговых представительств и торговых миссий, проведение международных ярмарок и выставок для поддержки и продвижения казахстанских товаров на зарубежных рынках.</w:t>
      </w:r>
    </w:p>
    <w:bookmarkEnd w:id="513"/>
    <w:bookmarkStart w:name="z556" w:id="514"/>
    <w:p>
      <w:pPr>
        <w:spacing w:after="0"/>
        <w:ind w:left="0"/>
        <w:jc w:val="both"/>
      </w:pPr>
      <w:r>
        <w:rPr>
          <w:rFonts w:ascii="Times New Roman"/>
          <w:b w:val="false"/>
          <w:i w:val="false"/>
          <w:color w:val="000000"/>
          <w:sz w:val="28"/>
        </w:rPr>
        <w:t>
      Расширение транспортно-логистической инфраструктуры. Расширение и модернизация инфраструктуры хранения продовольствия в Казахстане относятся к важным направлениям процессов повышения сохранности и безопасности продукции и снижения потерь. Наибольший приоритет будут иметь строительство и модернизация овощехранилищ, морозильных складов и других объектов для обеспечения подходящих условий хранения. Так, до конца 2025 года планируется ввести дополнительные хранилища общей вместимостью 689,8 тыс. тонн.</w:t>
      </w:r>
    </w:p>
    <w:bookmarkEnd w:id="514"/>
    <w:bookmarkStart w:name="z557" w:id="515"/>
    <w:p>
      <w:pPr>
        <w:spacing w:after="0"/>
        <w:ind w:left="0"/>
        <w:jc w:val="both"/>
      </w:pPr>
      <w:r>
        <w:rPr>
          <w:rFonts w:ascii="Times New Roman"/>
          <w:b w:val="false"/>
          <w:i w:val="false"/>
          <w:color w:val="000000"/>
          <w:sz w:val="28"/>
        </w:rPr>
        <w:t>
      Основная задача - внедрение стимулирующих мер для привлечения частных инвестиций в строительство и модернизацию инфраструктуры хранения. Кроме того, будет проведена работа по развитию транспортной инфраструктуры, расширению узких мест транспортной сети, подвижного состава, пограничных пунктов.</w:t>
      </w:r>
    </w:p>
    <w:bookmarkEnd w:id="515"/>
    <w:bookmarkStart w:name="z558" w:id="51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6. Развитие аграрной науки и компетенций</w:t>
      </w:r>
    </w:p>
    <w:bookmarkEnd w:id="516"/>
    <w:bookmarkStart w:name="z559" w:id="517"/>
    <w:p>
      <w:pPr>
        <w:spacing w:after="0"/>
        <w:ind w:left="0"/>
        <w:jc w:val="both"/>
      </w:pPr>
      <w:r>
        <w:rPr>
          <w:rFonts w:ascii="Times New Roman"/>
          <w:b w:val="false"/>
          <w:i w:val="false"/>
          <w:color w:val="000000"/>
          <w:sz w:val="28"/>
        </w:rPr>
        <w:t>
      Создание вертикально интегрированных научно-исследовательских центров на базе Национального аграрного научно-образовательного центра. Для укрепления связи науки, образования и бизнеса запланировано создание вертикально интегрированных агротехнологических хабов, на базе которых будут объединены представители бизнеса, научно-образовательной среды, стартапы, зарубежные исследовательские центры.</w:t>
      </w:r>
    </w:p>
    <w:bookmarkEnd w:id="517"/>
    <w:bookmarkStart w:name="z560" w:id="518"/>
    <w:p>
      <w:pPr>
        <w:spacing w:after="0"/>
        <w:ind w:left="0"/>
        <w:jc w:val="both"/>
      </w:pPr>
      <w:r>
        <w:rPr>
          <w:rFonts w:ascii="Times New Roman"/>
          <w:b w:val="false"/>
          <w:i w:val="false"/>
          <w:color w:val="000000"/>
          <w:sz w:val="28"/>
        </w:rPr>
        <w:t>
      Повышение качества подготовки кадров. В целях качественной подготовки кадров в сфере АПК предстоит проведение модернизации содержания и инфраструктуры образовательных программ вузов, в том числе в партнерстве с ведущими зарубежными университетами и агробизнесом, с учетом последних научных достижений и технологических инноваций.</w:t>
      </w:r>
    </w:p>
    <w:bookmarkEnd w:id="518"/>
    <w:bookmarkStart w:name="z561" w:id="519"/>
    <w:p>
      <w:pPr>
        <w:spacing w:after="0"/>
        <w:ind w:left="0"/>
        <w:jc w:val="both"/>
      </w:pPr>
      <w:r>
        <w:rPr>
          <w:rFonts w:ascii="Times New Roman"/>
          <w:b w:val="false"/>
          <w:i w:val="false"/>
          <w:color w:val="000000"/>
          <w:sz w:val="28"/>
        </w:rPr>
        <w:t>
      Для того чтобы образование было ориентировано на потребности современного рынка труда, особое внимание будет направлено на создание совместных с бизнесом образовательных программ, стажировок и проектов, в том числе на базе вертикально интегрированных научно-исследовательских центров.</w:t>
      </w:r>
    </w:p>
    <w:bookmarkEnd w:id="519"/>
    <w:bookmarkStart w:name="z562" w:id="520"/>
    <w:p>
      <w:pPr>
        <w:spacing w:after="0"/>
        <w:ind w:left="0"/>
        <w:jc w:val="both"/>
      </w:pPr>
      <w:r>
        <w:rPr>
          <w:rFonts w:ascii="Times New Roman"/>
          <w:b w:val="false"/>
          <w:i w:val="false"/>
          <w:color w:val="000000"/>
          <w:sz w:val="28"/>
        </w:rPr>
        <w:t>
      Развитие цифровизации в АПК. В рамках работы цифровизации сферы АПК запланирована проработка мер поддержки, стимулирующих внедрение цифровых технологий агропромышленными предприятиями, масштабирование "цифровых ферм" и технологий точного земледелия, выделение субсидий на покупку цифрового оборудования и программного обеспечения. Кроме того, будут предусмотрены специальные грантовые программы для поддержки пилотных проектов цифрового земледелия, цифровых ферм.</w:t>
      </w:r>
    </w:p>
    <w:bookmarkEnd w:id="520"/>
    <w:bookmarkStart w:name="z563" w:id="521"/>
    <w:p>
      <w:pPr>
        <w:spacing w:after="0"/>
        <w:ind w:left="0"/>
        <w:jc w:val="both"/>
      </w:pPr>
      <w:r>
        <w:rPr>
          <w:rFonts w:ascii="Times New Roman"/>
          <w:b w:val="false"/>
          <w:i w:val="false"/>
          <w:color w:val="000000"/>
          <w:sz w:val="28"/>
        </w:rPr>
        <w:t>
      Модернизация ветеринарной и фитосанитарной служб будет направлена на обеспечение необходимым оборудованием и ресурсами для мониторинга и контроля, предотвращения заболеваний и обучения специалистов. Также планируется проработка возможностей внедрения современных систем мониторинга и раннего предупреждения на базе углубленной аналитики для оперативного выявления и реагирования на вспышки болезней животных и растений, всемирно признанных методов и стандартов диагностики, профилактики и лечения заболеваний растений и животных.</w:t>
      </w:r>
    </w:p>
    <w:bookmarkEnd w:id="521"/>
    <w:bookmarkStart w:name="z564" w:id="522"/>
    <w:p>
      <w:pPr>
        <w:spacing w:after="0"/>
        <w:ind w:left="0"/>
        <w:jc w:val="both"/>
      </w:pPr>
      <w:r>
        <w:rPr>
          <w:rFonts w:ascii="Times New Roman"/>
          <w:b w:val="false"/>
          <w:i w:val="false"/>
          <w:color w:val="000000"/>
          <w:sz w:val="28"/>
        </w:rPr>
        <w:t>
      Повышение уровня финансирования научных исследований и эффективности используемых средств имеет критически важное значение, поскольку в Казахстане наблюдается недостаточное финансирование аграрных научных исследований (менее 1% ВДС сельского хозяйства, в то время как в других странах данный показатель значительно выше). Кроме того, наблюдаются серьезные диспропорции и недофинансирование коммерциализации: на научные исследования направляется более 90% всех средств, на опытные работы - менее 10%, на трансфер и коммерциализацию - 0%, при этом в мировой практике на каждое из направлений приходится по 30 - 35% объемов финансирования.</w:t>
      </w:r>
    </w:p>
    <w:bookmarkEnd w:id="522"/>
    <w:p>
      <w:pPr>
        <w:spacing w:after="0"/>
        <w:ind w:left="0"/>
        <w:jc w:val="both"/>
      </w:pPr>
      <w:r>
        <w:rPr>
          <w:rFonts w:ascii="Times New Roman"/>
          <w:b/>
          <w:i w:val="false"/>
          <w:color w:val="000000"/>
          <w:sz w:val="28"/>
        </w:rPr>
        <w:t>3.3. ИННОВАЦИИ, ЦИФРОВАЯ И КРЕАТИВНАЯ ЭКОНОМИКА</w:t>
      </w:r>
    </w:p>
    <w:bookmarkStart w:name="z566" w:id="52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523"/>
    <w:bookmarkStart w:name="z567" w:id="524"/>
    <w:p>
      <w:pPr>
        <w:spacing w:after="0"/>
        <w:ind w:left="0"/>
        <w:jc w:val="both"/>
      </w:pPr>
      <w:r>
        <w:rPr>
          <w:rFonts w:ascii="Times New Roman"/>
          <w:b w:val="false"/>
          <w:i w:val="false"/>
          <w:color w:val="000000"/>
          <w:sz w:val="28"/>
        </w:rPr>
        <w:t>
      В Казахстане активно развиваются цифровые и креативные индустрии. За 2017 - 2022 годы объем экспорта IT-продуктов и услуг вырос в 5 раз, и в 2023 году составил 529,1 млн долларов США</w:t>
      </w:r>
      <w:r>
        <w:rPr>
          <w:rFonts w:ascii="Times New Roman"/>
          <w:b w:val="false"/>
          <w:i w:val="false"/>
          <w:color w:val="000000"/>
          <w:vertAlign w:val="superscript"/>
        </w:rPr>
        <w:t>23</w:t>
      </w:r>
      <w:r>
        <w:rPr>
          <w:rFonts w:ascii="Times New Roman"/>
          <w:b w:val="false"/>
          <w:i w:val="false"/>
          <w:color w:val="000000"/>
          <w:sz w:val="28"/>
        </w:rPr>
        <w:t>. Более 50% экспорта данной категории приходится на страны Европы и США. К креативным индустриям в Казахстане относится 43 направления в 12 категориях, большинство из которых индустрии медиа и развлечений, моды, дизайна и архитектуры. С 2017 года рост креативных индустрий в Казахстане составил 3,2 раза в номинальном выражении, что совпадает со средним номинальным ростом всей экономики за 2017 - 2020 годы.</w:t>
      </w:r>
    </w:p>
    <w:bookmarkEnd w:id="524"/>
    <w:bookmarkStart w:name="z568" w:id="525"/>
    <w:p>
      <w:pPr>
        <w:spacing w:after="0"/>
        <w:ind w:left="0"/>
        <w:jc w:val="both"/>
      </w:pPr>
      <w:r>
        <w:rPr>
          <w:rFonts w:ascii="Times New Roman"/>
          <w:b w:val="false"/>
          <w:i w:val="false"/>
          <w:color w:val="000000"/>
          <w:sz w:val="28"/>
        </w:rPr>
        <w:t>
      Вместе с тем потенциал инновационной деятельности в значительной мере остается нераскрытым. За период с 2019 по 2022 год объем инновационной продукции увеличился в 1,7 раза, однако ее доля в ВВП в 2022 году оставалась на уровне 1,8%. Заняв в 2023 году 81-е место (из 132) в Глобальном индексе инноваций Всемирной организации интеллектуальной собственности (далее - ВОИС), Казахстан вошел в группу стран с неэффективным соотношением затрат и результатов инновационной деятельности</w:t>
      </w:r>
      <w:r>
        <w:rPr>
          <w:rFonts w:ascii="Times New Roman"/>
          <w:b w:val="false"/>
          <w:i w:val="false"/>
          <w:color w:val="000000"/>
          <w:vertAlign w:val="superscript"/>
        </w:rPr>
        <w:t>24</w:t>
      </w:r>
      <w:r>
        <w:rPr>
          <w:rFonts w:ascii="Times New Roman"/>
          <w:b w:val="false"/>
          <w:i w:val="false"/>
          <w:color w:val="000000"/>
          <w:sz w:val="28"/>
        </w:rPr>
        <w:t>.</w:t>
      </w:r>
    </w:p>
    <w:bookmarkEnd w:id="525"/>
    <w:bookmarkStart w:name="z569" w:id="526"/>
    <w:p>
      <w:pPr>
        <w:spacing w:after="0"/>
        <w:ind w:left="0"/>
        <w:jc w:val="both"/>
      </w:pPr>
      <w:r>
        <w:rPr>
          <w:rFonts w:ascii="Times New Roman"/>
          <w:b w:val="false"/>
          <w:i w:val="false"/>
          <w:color w:val="000000"/>
          <w:sz w:val="28"/>
        </w:rPr>
        <w:t>
      В 2022 году экспорт IT-продуктов и услуг составил около 0,6% всего экспорта Казахстана (для сравнения: в Ирландии и США - более 9% экспорта). Аналогичная ситуация наблюдается в отраслях креативной экономики: их доля в ВВП Казахстана остается относительно малой, составив по результатам 2022 года 0,9% ВВП (для сравнения: на креативный сектор в США и ЕС в 2022 году пришлось 4,4% ВВП</w:t>
      </w:r>
      <w:r>
        <w:rPr>
          <w:rFonts w:ascii="Times New Roman"/>
          <w:b w:val="false"/>
          <w:i w:val="false"/>
          <w:color w:val="000000"/>
          <w:vertAlign w:val="superscript"/>
        </w:rPr>
        <w:t>25</w:t>
      </w:r>
      <w:r>
        <w:rPr>
          <w:rFonts w:ascii="Times New Roman"/>
          <w:b w:val="false"/>
          <w:i w:val="false"/>
          <w:color w:val="000000"/>
          <w:sz w:val="28"/>
        </w:rPr>
        <w:t>). В 2023 году Казахстан находился на 90-й позиции по субиндексу "Креативные результаты" Глобального индекса инноваций ВОИС.</w:t>
      </w:r>
    </w:p>
    <w:bookmarkEnd w:id="526"/>
    <w:p>
      <w:pPr>
        <w:spacing w:after="0"/>
        <w:ind w:left="0"/>
        <w:jc w:val="both"/>
      </w:pPr>
      <w:bookmarkStart w:name="z570" w:id="527"/>
      <w:r>
        <w:rPr>
          <w:rFonts w:ascii="Times New Roman"/>
          <w:b w:val="false"/>
          <w:i w:val="false"/>
          <w:color w:val="000000"/>
          <w:sz w:val="28"/>
        </w:rPr>
        <w:t>
      _____________________________________</w:t>
      </w:r>
    </w:p>
    <w:bookmarkEnd w:id="527"/>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3</w:t>
      </w:r>
      <w:r>
        <w:rPr>
          <w:rFonts w:ascii="Times New Roman"/>
          <w:b w:val="false"/>
          <w:i w:val="false"/>
          <w:color w:val="000000"/>
          <w:sz w:val="28"/>
        </w:rPr>
        <w:t xml:space="preserve"> Данные Национального Банка Республики Казахстан.</w:t>
      </w:r>
    </w:p>
    <w:bookmarkStart w:name="z571"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В Глобальном индексе инноваций ВОИС 2023 года Казахстан занял 81-е место в общем рейтинге, 61-е место - в субиндексе институтов, 59-е место - в субиндексах человеческого капитала и инфраструктуры, 83-е место в субиндексе научных и технических результатов, 90-е место - в субиндексе результатов креативной деятельности.</w:t>
      </w:r>
    </w:p>
    <w:bookmarkEnd w:id="528"/>
    <w:bookmarkStart w:name="z572" w:id="529"/>
    <w:p>
      <w:pPr>
        <w:spacing w:after="0"/>
        <w:ind w:left="0"/>
        <w:jc w:val="both"/>
      </w:pPr>
      <w:r>
        <w:rPr>
          <w:rFonts w:ascii="Times New Roman"/>
          <w:b w:val="false"/>
          <w:i w:val="false"/>
          <w:color w:val="000000"/>
          <w:sz w:val="28"/>
        </w:rPr>
        <w:t>
      Развитие инноваций</w:t>
      </w:r>
    </w:p>
    <w:bookmarkEnd w:id="529"/>
    <w:bookmarkStart w:name="z573" w:id="530"/>
    <w:p>
      <w:pPr>
        <w:spacing w:after="0"/>
        <w:ind w:left="0"/>
        <w:jc w:val="both"/>
      </w:pPr>
      <w:r>
        <w:rPr>
          <w:rFonts w:ascii="Times New Roman"/>
          <w:b w:val="false"/>
          <w:i w:val="false"/>
          <w:color w:val="000000"/>
          <w:sz w:val="28"/>
        </w:rPr>
        <w:t>
      Ключевыми факторами, сдерживающими повышение инновационности экономики Казахстана, являются слабый уровень естественных стимулов к внедрению инноваций, неразвитое взаимодействие между ключевыми участниками процесса развития инноваций и недостаток инновационной инфраструктуры.</w:t>
      </w:r>
    </w:p>
    <w:bookmarkEnd w:id="530"/>
    <w:bookmarkStart w:name="z574" w:id="531"/>
    <w:p>
      <w:pPr>
        <w:spacing w:after="0"/>
        <w:ind w:left="0"/>
        <w:jc w:val="both"/>
      </w:pPr>
      <w:r>
        <w:rPr>
          <w:rFonts w:ascii="Times New Roman"/>
          <w:b w:val="false"/>
          <w:i w:val="false"/>
          <w:color w:val="000000"/>
          <w:sz w:val="28"/>
        </w:rPr>
        <w:t>
      Недостаток стимулов разработки и внедрения инноваций</w:t>
      </w:r>
    </w:p>
    <w:bookmarkEnd w:id="531"/>
    <w:bookmarkStart w:name="z575" w:id="532"/>
    <w:p>
      <w:pPr>
        <w:spacing w:after="0"/>
        <w:ind w:left="0"/>
        <w:jc w:val="both"/>
      </w:pPr>
      <w:r>
        <w:rPr>
          <w:rFonts w:ascii="Times New Roman"/>
          <w:b w:val="false"/>
          <w:i w:val="false"/>
          <w:color w:val="000000"/>
          <w:sz w:val="28"/>
        </w:rPr>
        <w:t>
      Ведение научно-исследовательской и инновационной деятельности в стране остается на низком уровне. В 2022 году в Казахстане инновациями занимались 11% компаний, при этом в странах ОЭСР данный показатель в среднем составляет около 50%.</w:t>
      </w:r>
    </w:p>
    <w:bookmarkEnd w:id="532"/>
    <w:bookmarkStart w:name="z576" w:id="533"/>
    <w:p>
      <w:pPr>
        <w:spacing w:after="0"/>
        <w:ind w:left="0"/>
        <w:jc w:val="both"/>
      </w:pPr>
      <w:r>
        <w:rPr>
          <w:rFonts w:ascii="Times New Roman"/>
          <w:b w:val="false"/>
          <w:i w:val="false"/>
          <w:color w:val="000000"/>
          <w:sz w:val="28"/>
        </w:rPr>
        <w:t>
      Остается низкой патентная активность: по данным ВОИС, в 2022 году заявителями из Казахстана получено 47 патентов на 1 млн человек, что значительно ниже показателей России (134) и средних по ЕС (613)</w:t>
      </w:r>
      <w:r>
        <w:rPr>
          <w:rFonts w:ascii="Times New Roman"/>
          <w:b w:val="false"/>
          <w:i w:val="false"/>
          <w:color w:val="000000"/>
          <w:vertAlign w:val="superscript"/>
        </w:rPr>
        <w:t>26</w:t>
      </w:r>
      <w:r>
        <w:rPr>
          <w:rFonts w:ascii="Times New Roman"/>
          <w:b w:val="false"/>
          <w:i w:val="false"/>
          <w:color w:val="000000"/>
          <w:sz w:val="28"/>
        </w:rPr>
        <w:t>.</w:t>
      </w:r>
    </w:p>
    <w:bookmarkEnd w:id="533"/>
    <w:bookmarkStart w:name="z577" w:id="534"/>
    <w:p>
      <w:pPr>
        <w:spacing w:after="0"/>
        <w:ind w:left="0"/>
        <w:jc w:val="both"/>
      </w:pPr>
      <w:r>
        <w:rPr>
          <w:rFonts w:ascii="Times New Roman"/>
          <w:b w:val="false"/>
          <w:i w:val="false"/>
          <w:color w:val="000000"/>
          <w:sz w:val="28"/>
        </w:rPr>
        <w:t>
      В Казахстане определен перечень развития приоритетных технологий, но ответственность за их внедрение в планах отраслевых и региональных ведомств не закреплена.</w:t>
      </w:r>
    </w:p>
    <w:bookmarkEnd w:id="534"/>
    <w:bookmarkStart w:name="z578" w:id="535"/>
    <w:p>
      <w:pPr>
        <w:spacing w:after="0"/>
        <w:ind w:left="0"/>
        <w:jc w:val="both"/>
      </w:pPr>
      <w:r>
        <w:rPr>
          <w:rFonts w:ascii="Times New Roman"/>
          <w:b w:val="false"/>
          <w:i w:val="false"/>
          <w:color w:val="000000"/>
          <w:sz w:val="28"/>
        </w:rPr>
        <w:t>
      Слабое взаимодействие ключевых участников инновационного развития</w:t>
      </w:r>
    </w:p>
    <w:bookmarkEnd w:id="535"/>
    <w:bookmarkStart w:name="z579" w:id="536"/>
    <w:p>
      <w:pPr>
        <w:spacing w:after="0"/>
        <w:ind w:left="0"/>
        <w:jc w:val="both"/>
      </w:pPr>
      <w:r>
        <w:rPr>
          <w:rFonts w:ascii="Times New Roman"/>
          <w:b w:val="false"/>
          <w:i w:val="false"/>
          <w:color w:val="000000"/>
          <w:sz w:val="28"/>
        </w:rPr>
        <w:t>
      В 2023 году Казахстан занял 123-е место (из 132) в субиндексе "инновационные связи" Глобального индекса инноваций ВОИС. Отсутствие должного взаимодействия субъектов инновационной деятельности обусловлено недостаточным развитием технологических (инновационных) платформ, сетей передачи знаний, поддержки научно-производственных консорциумов и кластерных инициатив.</w:t>
      </w:r>
    </w:p>
    <w:bookmarkEnd w:id="536"/>
    <w:bookmarkStart w:name="z580" w:id="537"/>
    <w:p>
      <w:pPr>
        <w:spacing w:after="0"/>
        <w:ind w:left="0"/>
        <w:jc w:val="both"/>
      </w:pPr>
      <w:r>
        <w:rPr>
          <w:rFonts w:ascii="Times New Roman"/>
          <w:b w:val="false"/>
          <w:i w:val="false"/>
          <w:color w:val="000000"/>
          <w:sz w:val="28"/>
        </w:rPr>
        <w:t>
      Для поддержки сложных высокотехнологичных проектов важен рынок венчурных инвестиций. При этом в Казахстане такой тип финансирования находится на начальной стадии развития: в 2021 году объем таких сделок составил 0,03% ВВП, что значительно ниже показателей таких стран как Южная Корея, Великобритания и США (0,44 - 1,1%), а средний размер сделки был в 3-4 раза меньше, чем в странах сравнения, что свидетельствует о преобладании сделок ранней стадии</w:t>
      </w:r>
      <w:r>
        <w:rPr>
          <w:rFonts w:ascii="Times New Roman"/>
          <w:b w:val="false"/>
          <w:i w:val="false"/>
          <w:color w:val="000000"/>
          <w:vertAlign w:val="superscript"/>
        </w:rPr>
        <w:t>27</w:t>
      </w:r>
      <w:r>
        <w:rPr>
          <w:rFonts w:ascii="Times New Roman"/>
          <w:b w:val="false"/>
          <w:i w:val="false"/>
          <w:color w:val="000000"/>
          <w:sz w:val="28"/>
        </w:rPr>
        <w:t>. В результате по итогам 2023 года Казахстан по показателю "полученный венчурный капитал" в Глобальном индексе инноваций ВОИС занял 99-е место.</w:t>
      </w:r>
    </w:p>
    <w:bookmarkEnd w:id="537"/>
    <w:p>
      <w:pPr>
        <w:spacing w:after="0"/>
        <w:ind w:left="0"/>
        <w:jc w:val="both"/>
      </w:pPr>
      <w:bookmarkStart w:name="z581" w:id="538"/>
      <w:r>
        <w:rPr>
          <w:rFonts w:ascii="Times New Roman"/>
          <w:b w:val="false"/>
          <w:i w:val="false"/>
          <w:color w:val="000000"/>
          <w:sz w:val="28"/>
        </w:rPr>
        <w:t>
      ________________________________________</w:t>
      </w:r>
    </w:p>
    <w:bookmarkEnd w:id="538"/>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5</w:t>
      </w:r>
      <w:r>
        <w:rPr>
          <w:rFonts w:ascii="Times New Roman"/>
          <w:b w:val="false"/>
          <w:i w:val="false"/>
          <w:color w:val="000000"/>
          <w:sz w:val="28"/>
        </w:rPr>
        <w:t xml:space="preserve"> Национальная Ассамблея государственных агентств искусства США, 2021 год Отчет по культурным и креативным индустриям Европы под ред. J. Antwerpen, В. Fesel, L. Kaltenbach, 2015 год.</w:t>
      </w:r>
    </w:p>
    <w:bookmarkStart w:name="z582" w:id="5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Расчет на основе данных ВОИС по числу патентов, поданных заявителями из указанной страны. Данные по ЕС приведены без учета Люксембурга.</w:t>
      </w:r>
    </w:p>
    <w:bookmarkEnd w:id="539"/>
    <w:bookmarkStart w:name="z583" w:id="5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MOST Holdings, отчет по рынку венчурного капитала в Казахстане, 2022 год. Для странового сравнения приведено среднее значение размера сделки за 2015 - 2021 годы, по данным Pitchbook.</w:t>
      </w:r>
    </w:p>
    <w:bookmarkEnd w:id="5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4" w:id="541"/>
    <w:p>
      <w:pPr>
        <w:spacing w:after="0"/>
        <w:ind w:left="0"/>
        <w:jc w:val="both"/>
      </w:pPr>
      <w:r>
        <w:rPr>
          <w:rFonts w:ascii="Times New Roman"/>
          <w:b w:val="false"/>
          <w:i w:val="false"/>
          <w:color w:val="000000"/>
          <w:sz w:val="28"/>
        </w:rPr>
        <w:t>
      Развитие цифровой и креативной экономики</w:t>
      </w:r>
    </w:p>
    <w:bookmarkEnd w:id="541"/>
    <w:bookmarkStart w:name="z585" w:id="542"/>
    <w:p>
      <w:pPr>
        <w:spacing w:after="0"/>
        <w:ind w:left="0"/>
        <w:jc w:val="both"/>
      </w:pPr>
      <w:r>
        <w:rPr>
          <w:rFonts w:ascii="Times New Roman"/>
          <w:b w:val="false"/>
          <w:i w:val="false"/>
          <w:color w:val="000000"/>
          <w:sz w:val="28"/>
        </w:rPr>
        <w:t>
      Для успешного развития цифровой и креативной экономики необходимо создать благоприятную среду, которая будет поддерживать инновации и творчество. Это включает в себя как государственные инициативы, так и активное участие частного сектора в инвестициях и развитии новых технологий.</w:t>
      </w:r>
    </w:p>
    <w:bookmarkEnd w:id="542"/>
    <w:bookmarkStart w:name="z586" w:id="543"/>
    <w:p>
      <w:pPr>
        <w:spacing w:after="0"/>
        <w:ind w:left="0"/>
        <w:jc w:val="both"/>
      </w:pPr>
      <w:r>
        <w:rPr>
          <w:rFonts w:ascii="Times New Roman"/>
          <w:b w:val="false"/>
          <w:i w:val="false"/>
          <w:color w:val="000000"/>
          <w:sz w:val="28"/>
        </w:rPr>
        <w:t>
      Развитие цифровой и креативной экономики зависит от преодоления следующих вызовов.</w:t>
      </w:r>
    </w:p>
    <w:bookmarkEnd w:id="543"/>
    <w:bookmarkStart w:name="z587" w:id="544"/>
    <w:p>
      <w:pPr>
        <w:spacing w:after="0"/>
        <w:ind w:left="0"/>
        <w:jc w:val="both"/>
      </w:pPr>
      <w:r>
        <w:rPr>
          <w:rFonts w:ascii="Times New Roman"/>
          <w:b w:val="false"/>
          <w:i w:val="false"/>
          <w:color w:val="000000"/>
          <w:sz w:val="28"/>
        </w:rPr>
        <w:t>
      Во-первых, недостаточного уровня государственной поддержки креативных индустрий.</w:t>
      </w:r>
    </w:p>
    <w:bookmarkEnd w:id="544"/>
    <w:bookmarkStart w:name="z588" w:id="545"/>
    <w:p>
      <w:pPr>
        <w:spacing w:after="0"/>
        <w:ind w:left="0"/>
        <w:jc w:val="both"/>
      </w:pPr>
      <w:r>
        <w:rPr>
          <w:rFonts w:ascii="Times New Roman"/>
          <w:b w:val="false"/>
          <w:i w:val="false"/>
          <w:color w:val="000000"/>
          <w:sz w:val="28"/>
        </w:rPr>
        <w:t>
      До 2023 года в Казахстане не существовало законодательно закрепленной классификации креативных индустрий. Отсутствует специализированный статистический учет креативных индустрий, из-за чего затруднено привлечение инвестиций и улучшение мер государственной поддержки.</w:t>
      </w:r>
    </w:p>
    <w:bookmarkEnd w:id="545"/>
    <w:bookmarkStart w:name="z589" w:id="546"/>
    <w:p>
      <w:pPr>
        <w:spacing w:after="0"/>
        <w:ind w:left="0"/>
        <w:jc w:val="both"/>
      </w:pPr>
      <w:r>
        <w:rPr>
          <w:rFonts w:ascii="Times New Roman"/>
          <w:b w:val="false"/>
          <w:i w:val="false"/>
          <w:color w:val="000000"/>
          <w:sz w:val="28"/>
        </w:rPr>
        <w:t>
      Кроме того, факторами, сдерживающими развитие креативной индустрии, являются разрозненность мер государственной поддержки и высокая ориентация на ее получение со стороны рынка, низкая доступность венчурного капитала, отсутствие приоритетов развития и слабая инфраструктура.</w:t>
      </w:r>
    </w:p>
    <w:bookmarkEnd w:id="546"/>
    <w:bookmarkStart w:name="z590" w:id="547"/>
    <w:p>
      <w:pPr>
        <w:spacing w:after="0"/>
        <w:ind w:left="0"/>
        <w:jc w:val="both"/>
      </w:pPr>
      <w:r>
        <w:rPr>
          <w:rFonts w:ascii="Times New Roman"/>
          <w:b w:val="false"/>
          <w:i w:val="false"/>
          <w:color w:val="000000"/>
          <w:sz w:val="28"/>
        </w:rPr>
        <w:t>
      Во-вторых, недостаточного развития экосистемы стартапов и дефицита IT-специалистов.</w:t>
      </w:r>
    </w:p>
    <w:bookmarkEnd w:id="547"/>
    <w:bookmarkStart w:name="z591" w:id="548"/>
    <w:p>
      <w:pPr>
        <w:spacing w:after="0"/>
        <w:ind w:left="0"/>
        <w:jc w:val="both"/>
      </w:pPr>
      <w:r>
        <w:rPr>
          <w:rFonts w:ascii="Times New Roman"/>
          <w:b w:val="false"/>
          <w:i w:val="false"/>
          <w:color w:val="000000"/>
          <w:sz w:val="28"/>
        </w:rPr>
        <w:t>
      С 2022 года Казахстан входит в международный рейтинг экосистем стартапов StartupBlink и занимает 1-е место в Центральной Азии и 73-е место из 100 в мире, что свидетельствует о значительном потенциале дальнейшего развития экосистемы в стране.</w:t>
      </w:r>
    </w:p>
    <w:bookmarkEnd w:id="548"/>
    <w:bookmarkStart w:name="z592" w:id="549"/>
    <w:p>
      <w:pPr>
        <w:spacing w:after="0"/>
        <w:ind w:left="0"/>
        <w:jc w:val="both"/>
      </w:pPr>
      <w:r>
        <w:rPr>
          <w:rFonts w:ascii="Times New Roman"/>
          <w:b w:val="false"/>
          <w:i w:val="false"/>
          <w:color w:val="000000"/>
          <w:sz w:val="28"/>
        </w:rPr>
        <w:t>
      Цифровые компетенции требуются для все большего числа отраслей и видов деятельности, включая генерацию креативного контента, разработку визуального дизайна, и анализа данных потребителей. В стране ежегодно выпускается 22 тыс. IT-специалистов. Однако, ежегодный дефицит кадров сохраняется на уровне 30 тыс. человек. Наряду с дефицитом кадров присутствует потенциал роста числа рабочих мест, требующих цифровых навыков: совокупно IT-специалисты составляют 1,2% занятых в экономике Казахстана, тогда как в ЕС - 4,5% занятых.</w:t>
      </w:r>
    </w:p>
    <w:bookmarkEnd w:id="549"/>
    <w:bookmarkStart w:name="z593" w:id="550"/>
    <w:p>
      <w:pPr>
        <w:spacing w:after="0"/>
        <w:ind w:left="0"/>
        <w:jc w:val="both"/>
      </w:pPr>
      <w:r>
        <w:rPr>
          <w:rFonts w:ascii="Times New Roman"/>
          <w:b w:val="false"/>
          <w:i w:val="false"/>
          <w:color w:val="000000"/>
          <w:sz w:val="28"/>
        </w:rPr>
        <w:t>
      Потенциал и вызовы развития инфраструктуры информационнокоммуникационных технологий (далее - ИКТ) и регулирования</w:t>
      </w:r>
    </w:p>
    <w:bookmarkEnd w:id="550"/>
    <w:bookmarkStart w:name="z594" w:id="551"/>
    <w:p>
      <w:pPr>
        <w:spacing w:after="0"/>
        <w:ind w:left="0"/>
        <w:jc w:val="both"/>
      </w:pPr>
      <w:r>
        <w:rPr>
          <w:rFonts w:ascii="Times New Roman"/>
          <w:b w:val="false"/>
          <w:i w:val="false"/>
          <w:color w:val="000000"/>
          <w:sz w:val="28"/>
        </w:rPr>
        <w:t>
      В Казахстане на сегодня выстраивается национальная цифровая финансовая инфраструктура, обеспечивающая участникам финансового рынка возможность оказания населению и бизнесу платежных и финансовых услуг дистанционно, в цифровом формате, а также проводить в мгновенном режиме платежи и переводы денег, безопасно использовать технологию открытых программных интерфейсов (Open API), развивать блокчейн-технологии и смарт- контракты на базе платформы цифрового тенге, а также отслеживать и предупреждать мошеннические транзакции и подозрительные операции. Развивается система управления бизнес-процессами на принципах облачного вычисления с дальнейшим переходом на цифровое хранилище.</w:t>
      </w:r>
    </w:p>
    <w:bookmarkEnd w:id="551"/>
    <w:bookmarkStart w:name="z595" w:id="552"/>
    <w:p>
      <w:pPr>
        <w:spacing w:after="0"/>
        <w:ind w:left="0"/>
        <w:jc w:val="both"/>
      </w:pPr>
      <w:r>
        <w:rPr>
          <w:rFonts w:ascii="Times New Roman"/>
          <w:b w:val="false"/>
          <w:i w:val="false"/>
          <w:color w:val="000000"/>
          <w:sz w:val="28"/>
        </w:rPr>
        <w:t>
      В целях улучшения качества связи к 2027 году будет обеспечен 100%-й уровень проникновения домашних сетей широкополосного доступа в Интернет.</w:t>
      </w:r>
    </w:p>
    <w:bookmarkEnd w:id="552"/>
    <w:bookmarkStart w:name="z596" w:id="553"/>
    <w:p>
      <w:pPr>
        <w:spacing w:after="0"/>
        <w:ind w:left="0"/>
        <w:jc w:val="both"/>
      </w:pPr>
      <w:r>
        <w:rPr>
          <w:rFonts w:ascii="Times New Roman"/>
          <w:b w:val="false"/>
          <w:i w:val="false"/>
          <w:color w:val="000000"/>
          <w:sz w:val="28"/>
        </w:rPr>
        <w:t>
      Для дальнейшего развития цифровой инфраструктуры Казахстану необходимо увеличить скорость Интернета (по скорости мобильного подключения Казахстан занимает 66-е место из 141, по скорости фиксированного подключения - 96-е место из 181), раскрыть потенциал рынка обработки данных (в 2022 году 1,5% транзитного потока данных из Азии в Европу обрабатывалось в Казахстане) и преодолеть разрозненность управления государственными данными. Государственные данные содержатся во множестве информационных систем, использующих разную архитектуру, что усложняет использование данных разных ведомств для проведения аналитики.</w:t>
      </w:r>
    </w:p>
    <w:bookmarkEnd w:id="553"/>
    <w:bookmarkStart w:name="z597" w:id="554"/>
    <w:p>
      <w:pPr>
        <w:spacing w:after="0"/>
        <w:ind w:left="0"/>
        <w:jc w:val="both"/>
      </w:pPr>
      <w:r>
        <w:rPr>
          <w:rFonts w:ascii="Times New Roman"/>
          <w:b w:val="false"/>
          <w:i w:val="false"/>
          <w:color w:val="000000"/>
          <w:sz w:val="28"/>
        </w:rPr>
        <w:t>
      Приоритеты развития до 2029 года</w:t>
      </w:r>
    </w:p>
    <w:bookmarkEnd w:id="554"/>
    <w:bookmarkStart w:name="z598" w:id="555"/>
    <w:p>
      <w:pPr>
        <w:spacing w:after="0"/>
        <w:ind w:left="0"/>
        <w:jc w:val="both"/>
      </w:pPr>
      <w:r>
        <w:rPr>
          <w:rFonts w:ascii="Times New Roman"/>
          <w:b w:val="false"/>
          <w:i w:val="false"/>
          <w:color w:val="000000"/>
          <w:sz w:val="28"/>
        </w:rPr>
        <w:t>
      Особое внимание будет уделено комплексному развитию инновационного потенциала страны и его переходу на качественно новый уровень, а также развитию креативных индустрий с постепенным увеличением их вклада в экономику страны.</w:t>
      </w:r>
    </w:p>
    <w:bookmarkEnd w:id="555"/>
    <w:bookmarkStart w:name="z599" w:id="556"/>
    <w:p>
      <w:pPr>
        <w:spacing w:after="0"/>
        <w:ind w:left="0"/>
        <w:jc w:val="both"/>
      </w:pPr>
      <w:r>
        <w:rPr>
          <w:rFonts w:ascii="Times New Roman"/>
          <w:b w:val="false"/>
          <w:i w:val="false"/>
          <w:color w:val="000000"/>
          <w:sz w:val="28"/>
        </w:rPr>
        <w:t>
      Для повышения эффективности решений и исключения человеческого фактора государственными органами разрабатываются карты цифровой трансформации, подразумевающие преобразование традиционных отраслей экономики посредством применения технологий.</w:t>
      </w:r>
    </w:p>
    <w:bookmarkEnd w:id="556"/>
    <w:bookmarkStart w:name="z600" w:id="5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Активное внедрение инноваций в экономике</w:t>
      </w:r>
    </w:p>
    <w:bookmarkEnd w:id="557"/>
    <w:bookmarkStart w:name="z601" w:id="558"/>
    <w:p>
      <w:pPr>
        <w:spacing w:after="0"/>
        <w:ind w:left="0"/>
        <w:jc w:val="both"/>
      </w:pPr>
      <w:r>
        <w:rPr>
          <w:rFonts w:ascii="Times New Roman"/>
          <w:b w:val="false"/>
          <w:i w:val="false"/>
          <w:color w:val="000000"/>
          <w:sz w:val="28"/>
        </w:rPr>
        <w:t>
      Формирование перечней приоритетных технологий по отраслям необходимо для концентрации ресурсов на разработках с наибольшей отдачей для экономики. При выборе технологий будет учитываться соответствие глобальным трендам развития отраслей, включая переход на ВИЭ и повышение энергоэффективности.</w:t>
      </w:r>
    </w:p>
    <w:bookmarkEnd w:id="558"/>
    <w:bookmarkStart w:name="z602" w:id="55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Оптимизация регулирования для поддержки инноваций, отраслей цифровой и креативной экономики</w:t>
      </w:r>
    </w:p>
    <w:bookmarkEnd w:id="559"/>
    <w:bookmarkStart w:name="z603" w:id="560"/>
    <w:p>
      <w:pPr>
        <w:spacing w:after="0"/>
        <w:ind w:left="0"/>
        <w:jc w:val="both"/>
      </w:pPr>
      <w:r>
        <w:rPr>
          <w:rFonts w:ascii="Times New Roman"/>
          <w:b w:val="false"/>
          <w:i w:val="false"/>
          <w:color w:val="000000"/>
          <w:sz w:val="28"/>
        </w:rPr>
        <w:t>
      Работа в рамках данного направления предусматривает обеспечение регуляторных условий для масштабирования инновационной активности, роста цифровых и креативных индустрий и повышения привлекательности инвестиций в данные отрасли.</w:t>
      </w:r>
    </w:p>
    <w:bookmarkEnd w:id="560"/>
    <w:bookmarkStart w:name="z604" w:id="561"/>
    <w:p>
      <w:pPr>
        <w:spacing w:after="0"/>
        <w:ind w:left="0"/>
        <w:jc w:val="both"/>
      </w:pPr>
      <w:r>
        <w:rPr>
          <w:rFonts w:ascii="Times New Roman"/>
          <w:b w:val="false"/>
          <w:i w:val="false"/>
          <w:color w:val="000000"/>
          <w:sz w:val="28"/>
        </w:rPr>
        <w:t>
      Усиление защиты и возможностей использования интеллектуальной собственности. Для усиления защиты интеллектуальной собственности (далее - ИС) планируется проведение комплексной работы по предотвращению интеллектуального пиратства и обеспечению неотвратимой ответственности за нарушение прав ИС. Увеличения возможностей использования прав ИС предполагается достичь за счет развития механизмов монетизации ИС, включая разработку стандартов аудита ценности ИС и создание законодательной базы для использования ИС в качестве кредитного залога.</w:t>
      </w:r>
    </w:p>
    <w:bookmarkEnd w:id="561"/>
    <w:bookmarkStart w:name="z605" w:id="562"/>
    <w:p>
      <w:pPr>
        <w:spacing w:after="0"/>
        <w:ind w:left="0"/>
        <w:jc w:val="both"/>
      </w:pPr>
      <w:r>
        <w:rPr>
          <w:rFonts w:ascii="Times New Roman"/>
          <w:b w:val="false"/>
          <w:i w:val="false"/>
          <w:color w:val="000000"/>
          <w:sz w:val="28"/>
        </w:rPr>
        <w:t>
      Единая политика данных будет выстраиваться в соответствии с принципами открытой архитектуры (Open API) и усиления кооперации между государством и коммерческим сектором. Обмен информацией в рамках такого взаимодействия планируется осуществлять с помощью стандартизированных открытых интерфейсов программирования с использованием облачных технологий, в безопасной среде, согласно лучшим международным стандартам.</w:t>
      </w:r>
    </w:p>
    <w:bookmarkEnd w:id="562"/>
    <w:bookmarkStart w:name="z606" w:id="563"/>
    <w:p>
      <w:pPr>
        <w:spacing w:after="0"/>
        <w:ind w:left="0"/>
        <w:jc w:val="both"/>
      </w:pPr>
      <w:r>
        <w:rPr>
          <w:rFonts w:ascii="Times New Roman"/>
          <w:b w:val="false"/>
          <w:i w:val="false"/>
          <w:color w:val="000000"/>
          <w:sz w:val="28"/>
        </w:rPr>
        <w:t>
      Оптимизация регулирования по защите персональных данных снизит риски утечек, повысит надежность операций и доверие к цифровой экосистеме Казахстана со стороны инвесторов, бизнеса и граждан.</w:t>
      </w:r>
    </w:p>
    <w:bookmarkEnd w:id="563"/>
    <w:bookmarkStart w:name="z607" w:id="564"/>
    <w:p>
      <w:pPr>
        <w:spacing w:after="0"/>
        <w:ind w:left="0"/>
        <w:jc w:val="both"/>
      </w:pPr>
      <w:r>
        <w:rPr>
          <w:rFonts w:ascii="Times New Roman"/>
          <w:b w:val="false"/>
          <w:i w:val="false"/>
          <w:color w:val="000000"/>
          <w:sz w:val="28"/>
        </w:rPr>
        <w:t>
      Кроме того, предусмотрено ужесточение ответственности операторов, нарушивших права граждан по защите персональных данных, а также развитие механизмов выявления и недопущения утечек, включая информирование владельцев данных.</w:t>
      </w:r>
    </w:p>
    <w:bookmarkEnd w:id="564"/>
    <w:bookmarkStart w:name="z608" w:id="565"/>
    <w:p>
      <w:pPr>
        <w:spacing w:after="0"/>
        <w:ind w:left="0"/>
        <w:jc w:val="both"/>
      </w:pPr>
      <w:r>
        <w:rPr>
          <w:rFonts w:ascii="Times New Roman"/>
          <w:b w:val="false"/>
          <w:i w:val="false"/>
          <w:color w:val="000000"/>
          <w:sz w:val="28"/>
        </w:rPr>
        <w:t>
      Развитие регулирования креативных индустрий будет направлено на уточнение границ креативного сектора экономики, разработку законодательных требований и возможностей ведения деятельности с учетом мирового опыта, а также налаживание официального статистического мониторинга.</w:t>
      </w:r>
    </w:p>
    <w:bookmarkEnd w:id="565"/>
    <w:bookmarkStart w:name="z609" w:id="566"/>
    <w:p>
      <w:pPr>
        <w:spacing w:after="0"/>
        <w:ind w:left="0"/>
        <w:jc w:val="both"/>
      </w:pPr>
      <w:r>
        <w:rPr>
          <w:rFonts w:ascii="Times New Roman"/>
          <w:b w:val="false"/>
          <w:i w:val="false"/>
          <w:color w:val="000000"/>
          <w:sz w:val="28"/>
        </w:rPr>
        <w:t>
      В целях усиления поддержки сферы и ее регулирования запланированы разработка и принятие соответствующей законодательной базы. Также будут создаваться креативные хабы в регионах, которые сформируют единую экосистему, объединяющую всех юридических и физических лиц, чья сфера деятельности относится к креативной индустрии.</w:t>
      </w:r>
    </w:p>
    <w:bookmarkEnd w:id="566"/>
    <w:bookmarkStart w:name="z610" w:id="567"/>
    <w:p>
      <w:pPr>
        <w:spacing w:after="0"/>
        <w:ind w:left="0"/>
        <w:jc w:val="both"/>
      </w:pPr>
      <w:r>
        <w:rPr>
          <w:rFonts w:ascii="Times New Roman"/>
          <w:b w:val="false"/>
          <w:i w:val="false"/>
          <w:color w:val="000000"/>
          <w:sz w:val="28"/>
        </w:rPr>
        <w:t>
      В целях оказания государственной поддержки предусмотрено создание Корпоративного фонда поддержки креативной индустрии, который будет оказывать как финансовую, так и нефинансовую поддержку.</w:t>
      </w:r>
    </w:p>
    <w:bookmarkEnd w:id="567"/>
    <w:bookmarkStart w:name="z611" w:id="56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Развитие кадрового потенциала и усиление экосистемы стартапов</w:t>
      </w:r>
    </w:p>
    <w:bookmarkEnd w:id="568"/>
    <w:bookmarkStart w:name="z612" w:id="569"/>
    <w:p>
      <w:pPr>
        <w:spacing w:after="0"/>
        <w:ind w:left="0"/>
        <w:jc w:val="both"/>
      </w:pPr>
      <w:r>
        <w:rPr>
          <w:rFonts w:ascii="Times New Roman"/>
          <w:b w:val="false"/>
          <w:i w:val="false"/>
          <w:color w:val="000000"/>
          <w:sz w:val="28"/>
        </w:rPr>
        <w:t>
      Покрытие потребности в талантах будет обеспечено за счет развития компетенций и усиления экосистемы стартапов, которая одновременно стимулирует рост компаний и удерживает таланты.</w:t>
      </w:r>
    </w:p>
    <w:bookmarkEnd w:id="569"/>
    <w:bookmarkStart w:name="z613" w:id="570"/>
    <w:p>
      <w:pPr>
        <w:spacing w:after="0"/>
        <w:ind w:left="0"/>
        <w:jc w:val="both"/>
      </w:pPr>
      <w:r>
        <w:rPr>
          <w:rFonts w:ascii="Times New Roman"/>
          <w:b w:val="false"/>
          <w:i w:val="false"/>
          <w:color w:val="000000"/>
          <w:sz w:val="28"/>
        </w:rPr>
        <w:t>
      Кадровый потенциал и экосистема цифровой экономики. Развитие цифровых компетенций. Общее повышение цифровой грамотности обеспечит рост производительности труда за счет эффективного использования технологий в рабочих задачах. Запланированы расширение курсов по программированию и аналитике данных на всех стадиях формального образования, а также регулярное обновление содержания образовательных программ при привлечении ведущих экспертов в области IT-технологий. Увеличение участия бизнеса в качестве спонсоров обучения позволит проактивно готовить кадры и адаптировать программу обучения под нужды компаний.</w:t>
      </w:r>
    </w:p>
    <w:bookmarkEnd w:id="570"/>
    <w:bookmarkStart w:name="z614" w:id="571"/>
    <w:p>
      <w:pPr>
        <w:spacing w:after="0"/>
        <w:ind w:left="0"/>
        <w:jc w:val="both"/>
      </w:pPr>
      <w:r>
        <w:rPr>
          <w:rFonts w:ascii="Times New Roman"/>
          <w:b w:val="false"/>
          <w:i w:val="false"/>
          <w:color w:val="000000"/>
          <w:sz w:val="28"/>
        </w:rPr>
        <w:t>
      Усиление экосистемы стартапов. Экосистема инкубации и акселерации будет развиваться за счет расширения региональной представленности, повышения интенсивности взаимодействий между площадками в регионах Казахстана с ведущими мировыми инкубаторами и IT-компаниями, а также через поддержку частных инкубаторов и акселераторов. Повышения качества инкубации предполагается достичь в том числе за счет усиления лабораторной инфраструктуры для стартапов, разрабатывающих аппаратные решения. На основе Атласа новых профессий и компетенций запланированы обновление учебных программ, внедрение модулей по машинному обучению, data science, кибернетике, ИИ и робототехнике. Кроме того, большая просветительская работа будет проводиться на базе онлайн-курсов обучающими платформами.</w:t>
      </w:r>
    </w:p>
    <w:bookmarkEnd w:id="571"/>
    <w:bookmarkStart w:name="z615" w:id="572"/>
    <w:p>
      <w:pPr>
        <w:spacing w:after="0"/>
        <w:ind w:left="0"/>
        <w:jc w:val="both"/>
      </w:pPr>
      <w:r>
        <w:rPr>
          <w:rFonts w:ascii="Times New Roman"/>
          <w:b w:val="false"/>
          <w:i w:val="false"/>
          <w:color w:val="000000"/>
          <w:sz w:val="28"/>
        </w:rPr>
        <w:t>
      Кадровый потенциал и экосистема креативной экономики. Формирование компетенций креативного труда и потребительского вкуса. Задачами данного направления являются обучение компетенциям, необходимым для повышения креативной составляющей в экономике, развитие эстетических потребностей граждан, их ожиданий к качеству креативного контента и укрепление интереса к казахстанской истории и культуре.</w:t>
      </w:r>
    </w:p>
    <w:bookmarkEnd w:id="572"/>
    <w:bookmarkStart w:name="z616" w:id="573"/>
    <w:p>
      <w:pPr>
        <w:spacing w:after="0"/>
        <w:ind w:left="0"/>
        <w:jc w:val="both"/>
      </w:pPr>
      <w:r>
        <w:rPr>
          <w:rFonts w:ascii="Times New Roman"/>
          <w:b w:val="false"/>
          <w:i w:val="false"/>
          <w:color w:val="000000"/>
          <w:sz w:val="28"/>
        </w:rPr>
        <w:t>
      Развитие креативных навыков и культурная активность оказывают стимулирующий эффект на благосостояние граждан и их вовлечение в социальную активность.</w:t>
      </w:r>
    </w:p>
    <w:bookmarkEnd w:id="573"/>
    <w:bookmarkStart w:name="z617" w:id="574"/>
    <w:p>
      <w:pPr>
        <w:spacing w:after="0"/>
        <w:ind w:left="0"/>
        <w:jc w:val="both"/>
      </w:pPr>
      <w:r>
        <w:rPr>
          <w:rFonts w:ascii="Times New Roman"/>
          <w:b w:val="false"/>
          <w:i w:val="false"/>
          <w:color w:val="000000"/>
          <w:sz w:val="28"/>
        </w:rPr>
        <w:t>
      Обновление программ обучения в структуре формального образования, а также в рамках непрерывного образования будет направлено на развитие "мягких" навыков и расширение практического опыта взаимодействия с креативными индустриями.</w:t>
      </w:r>
    </w:p>
    <w:bookmarkEnd w:id="574"/>
    <w:bookmarkStart w:name="z618" w:id="575"/>
    <w:p>
      <w:pPr>
        <w:spacing w:after="0"/>
        <w:ind w:left="0"/>
        <w:jc w:val="both"/>
      </w:pPr>
      <w:r>
        <w:rPr>
          <w:rFonts w:ascii="Times New Roman"/>
          <w:b w:val="false"/>
          <w:i w:val="false"/>
          <w:color w:val="000000"/>
          <w:sz w:val="28"/>
        </w:rPr>
        <w:t>
      Расширение практического опыта ожидается за счет увеличения интенсивности и многообразия творческих заданий, а также через налаживание регулярных экскурсий в организации культуры и искусства, показы мод и выставок для обучающихся на всех этапах формального образования. По статистике США, в школах с развитой программой обучения творчеству ученики имеют более высокий средний балл по чтению и математике в сравнении со сверстниками из других школ</w:t>
      </w:r>
      <w:r>
        <w:rPr>
          <w:rFonts w:ascii="Times New Roman"/>
          <w:b w:val="false"/>
          <w:i w:val="false"/>
          <w:color w:val="000000"/>
          <w:vertAlign w:val="superscript"/>
        </w:rPr>
        <w:t>28</w:t>
      </w:r>
      <w:r>
        <w:rPr>
          <w:rFonts w:ascii="Times New Roman"/>
          <w:b w:val="false"/>
          <w:i w:val="false"/>
          <w:color w:val="000000"/>
          <w:sz w:val="28"/>
        </w:rPr>
        <w:t>.</w:t>
      </w:r>
    </w:p>
    <w:bookmarkEnd w:id="575"/>
    <w:bookmarkStart w:name="z619" w:id="576"/>
    <w:p>
      <w:pPr>
        <w:spacing w:after="0"/>
        <w:ind w:left="0"/>
        <w:jc w:val="both"/>
      </w:pPr>
      <w:r>
        <w:rPr>
          <w:rFonts w:ascii="Times New Roman"/>
          <w:b w:val="false"/>
          <w:i w:val="false"/>
          <w:color w:val="000000"/>
          <w:sz w:val="28"/>
        </w:rPr>
        <w:t>
      Планируется создание информационного ресурса, содержащего сведения о видах креативной деятельности, необходимых навыках и бесплатных программах для их освоения.</w:t>
      </w:r>
    </w:p>
    <w:bookmarkEnd w:id="576"/>
    <w:bookmarkStart w:name="z620" w:id="577"/>
    <w:p>
      <w:pPr>
        <w:spacing w:after="0"/>
        <w:ind w:left="0"/>
        <w:jc w:val="both"/>
      </w:pPr>
      <w:r>
        <w:rPr>
          <w:rFonts w:ascii="Times New Roman"/>
          <w:b w:val="false"/>
          <w:i w:val="false"/>
          <w:color w:val="000000"/>
          <w:sz w:val="28"/>
        </w:rPr>
        <w:t>
      Развитие креативных пространств в качестве площадок инкубации и акселерации. Частью общей экосистемы креативных индустрий станут современные пространства, центры культуры, развиваемые в первую очередь в рамках частной инициативы с учетом лучшего мирового опыта. Такие пространства обеспечат условия для проведения глобальных мероприятий в современных форматах.</w:t>
      </w:r>
    </w:p>
    <w:bookmarkEnd w:id="577"/>
    <w:bookmarkStart w:name="z621" w:id="578"/>
    <w:p>
      <w:pPr>
        <w:spacing w:after="0"/>
        <w:ind w:left="0"/>
        <w:jc w:val="both"/>
      </w:pPr>
      <w:r>
        <w:rPr>
          <w:rFonts w:ascii="Times New Roman"/>
          <w:b w:val="false"/>
          <w:i w:val="false"/>
          <w:color w:val="000000"/>
          <w:sz w:val="28"/>
        </w:rPr>
        <w:t>
      Поддержка предпринимательства в креативных индустриях. Поддержка со стороны государства будет сочетать комплекс финансовых и нефинансовых мер, адаптируемых к специфике отдельных креативных индустрий и учитывающих локальные и глобальные тренды, а также мнения экспертов и бизнеса.</w:t>
      </w:r>
    </w:p>
    <w:bookmarkEnd w:id="578"/>
    <w:bookmarkStart w:name="z622" w:id="5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цифровой инфраструктуры: ввод ИКТ- мощностей и укрепление кибербезопасности</w:t>
      </w:r>
    </w:p>
    <w:bookmarkEnd w:id="579"/>
    <w:bookmarkStart w:name="z623" w:id="580"/>
    <w:p>
      <w:pPr>
        <w:spacing w:after="0"/>
        <w:ind w:left="0"/>
        <w:jc w:val="both"/>
      </w:pPr>
      <w:r>
        <w:rPr>
          <w:rFonts w:ascii="Times New Roman"/>
          <w:b w:val="false"/>
          <w:i w:val="false"/>
          <w:color w:val="000000"/>
          <w:sz w:val="28"/>
        </w:rPr>
        <w:t>
      Ввод новых мощностей. Стимулирование частных инвестиций ожидается за счет укрепления условий конкуренции на рынке телекоммуникаций. Программы финансовой поддержки со стороны государства будут задействованы в проектах с высокой социально-экономической значимостью и низкой рентабельностью для операторов инфраструктуры, включая обеспечение связи для населения в труднодоступных районах.</w:t>
      </w:r>
    </w:p>
    <w:bookmarkEnd w:id="580"/>
    <w:p>
      <w:pPr>
        <w:spacing w:after="0"/>
        <w:ind w:left="0"/>
        <w:jc w:val="both"/>
      </w:pPr>
      <w:bookmarkStart w:name="z624" w:id="581"/>
      <w:r>
        <w:rPr>
          <w:rFonts w:ascii="Times New Roman"/>
          <w:b w:val="false"/>
          <w:i w:val="false"/>
          <w:color w:val="000000"/>
          <w:sz w:val="28"/>
        </w:rPr>
        <w:t>
      _________________________________</w:t>
      </w:r>
    </w:p>
    <w:bookmarkEnd w:id="581"/>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8</w:t>
      </w:r>
      <w:r>
        <w:rPr>
          <w:rFonts w:ascii="Times New Roman"/>
          <w:b w:val="false"/>
          <w:i w:val="false"/>
          <w:color w:val="000000"/>
          <w:sz w:val="28"/>
        </w:rPr>
        <w:t xml:space="preserve"> UPenn "Culture and Social wellbeing in NYC".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5" w:id="582"/>
    <w:p>
      <w:pPr>
        <w:spacing w:after="0"/>
        <w:ind w:left="0"/>
        <w:jc w:val="both"/>
      </w:pPr>
      <w:r>
        <w:rPr>
          <w:rFonts w:ascii="Times New Roman"/>
          <w:b w:val="false"/>
          <w:i w:val="false"/>
          <w:color w:val="000000"/>
          <w:sz w:val="28"/>
        </w:rPr>
        <w:t>
      Кроме того, запланировано завершение строительства Транскаспийской волоконно-оптической линии связи в 2025 году и национальной гипермагистрали Запад - Восток в 2026 году в рамках межгосударственных проектов.</w:t>
      </w:r>
    </w:p>
    <w:bookmarkEnd w:id="582"/>
    <w:bookmarkStart w:name="z626" w:id="583"/>
    <w:p>
      <w:pPr>
        <w:spacing w:after="0"/>
        <w:ind w:left="0"/>
        <w:jc w:val="both"/>
      </w:pPr>
      <w:r>
        <w:rPr>
          <w:rFonts w:ascii="Times New Roman"/>
          <w:b w:val="false"/>
          <w:i w:val="false"/>
          <w:color w:val="000000"/>
          <w:sz w:val="28"/>
        </w:rPr>
        <w:t>
      Наряду с развитием собственной спутниковой группировки планируется поддержка инновационных проектов космической связи, дистанцированного зондирования земли и навигации через партнерства с международными компаниями. Будет продолжена работа по оцифровке государственных пространственных данных с интеграцией в единую цифровую картографическую платформу, что поддержит развитие геосервисов.</w:t>
      </w:r>
    </w:p>
    <w:bookmarkEnd w:id="583"/>
    <w:bookmarkStart w:name="z627" w:id="584"/>
    <w:p>
      <w:pPr>
        <w:spacing w:after="0"/>
        <w:ind w:left="0"/>
        <w:jc w:val="both"/>
      </w:pPr>
      <w:r>
        <w:rPr>
          <w:rFonts w:ascii="Times New Roman"/>
          <w:b w:val="false"/>
          <w:i w:val="false"/>
          <w:color w:val="000000"/>
          <w:sz w:val="28"/>
        </w:rPr>
        <w:t>
      Укрепление кибербезопасности предусмотрено реализовать путем развития защитной инфраструктуры. Будут усилены технические возможности по защите персональных данных для снижения вероятности утечек. Установление паролей и другие традиционные методы аутентификации становятся все более уязвимыми для кибератак. Использование ИИ и машинного обучения для анализа и оценки поведения пользователя и контекста (местоположение, используемая сеть и тому подобное) обеспечат безопасность персональных данных, помогут предотвратить несанкционированный доступ.</w:t>
      </w:r>
    </w:p>
    <w:bookmarkEnd w:id="584"/>
    <w:bookmarkStart w:name="z628" w:id="585"/>
    <w:p>
      <w:pPr>
        <w:spacing w:after="0"/>
        <w:ind w:left="0"/>
        <w:jc w:val="both"/>
      </w:pPr>
      <w:r>
        <w:rPr>
          <w:rFonts w:ascii="Times New Roman"/>
          <w:b w:val="false"/>
          <w:i w:val="false"/>
          <w:color w:val="000000"/>
          <w:sz w:val="28"/>
        </w:rPr>
        <w:t>
      Кроме того, для повышения безопасности взаимодействия между клиентами, государством и бизнесом будут обеспечены надежность инструментов идентификации, аутентификации и регистрации действий пользователей, а также безопасность биометрических данных. В частности, планируется создание страновой эталонной базы биометрических данных.</w:t>
      </w:r>
    </w:p>
    <w:bookmarkEnd w:id="585"/>
    <w:bookmarkStart w:name="z629" w:id="58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Поддержка разработки и внедрения приоритетных цифровых технологий</w:t>
      </w:r>
    </w:p>
    <w:bookmarkEnd w:id="586"/>
    <w:bookmarkStart w:name="z630" w:id="587"/>
    <w:p>
      <w:pPr>
        <w:spacing w:after="0"/>
        <w:ind w:left="0"/>
        <w:jc w:val="both"/>
      </w:pPr>
      <w:r>
        <w:rPr>
          <w:rFonts w:ascii="Times New Roman"/>
          <w:b w:val="false"/>
          <w:i w:val="false"/>
          <w:color w:val="000000"/>
          <w:sz w:val="28"/>
        </w:rPr>
        <w:t>
      В качестве приоритета поддержки будут выбраны два решения: прикладной ИИ и технологии продвинутой связи, поскольку указанные технологические направления превосходят остальные прорывные технологии по степени инновационности и скорости внедрения и привлекают наибольший объем инвестиций среди цифровых технологий.</w:t>
      </w:r>
    </w:p>
    <w:bookmarkEnd w:id="587"/>
    <w:bookmarkStart w:name="z631" w:id="588"/>
    <w:p>
      <w:pPr>
        <w:spacing w:after="0"/>
        <w:ind w:left="0"/>
        <w:jc w:val="both"/>
      </w:pPr>
      <w:r>
        <w:rPr>
          <w:rFonts w:ascii="Times New Roman"/>
          <w:b w:val="false"/>
          <w:i w:val="false"/>
          <w:color w:val="000000"/>
          <w:sz w:val="28"/>
        </w:rPr>
        <w:t>
      Решения прикладного ИИ. Ожидается, что в ближайшие десятилетия внедрение ИИ может создать до 25% нынешнего мирового ВВП, среди них 8% придется на решения генеративного ИИ. При этом эффект от внедрения ИИ распределится неравномерно: в развитых странах рост производительности прогнозируется в 1,5 раза выше, чем в развивающихся</w:t>
      </w:r>
      <w:r>
        <w:rPr>
          <w:rFonts w:ascii="Times New Roman"/>
          <w:b w:val="false"/>
          <w:i w:val="false"/>
          <w:color w:val="000000"/>
          <w:vertAlign w:val="superscript"/>
        </w:rPr>
        <w:t>29</w:t>
      </w:r>
      <w:r>
        <w:rPr>
          <w:rFonts w:ascii="Times New Roman"/>
          <w:b w:val="false"/>
          <w:i w:val="false"/>
          <w:color w:val="000000"/>
          <w:sz w:val="28"/>
        </w:rPr>
        <w:t>.</w:t>
      </w:r>
    </w:p>
    <w:bookmarkEnd w:id="588"/>
    <w:bookmarkStart w:name="z632" w:id="589"/>
    <w:p>
      <w:pPr>
        <w:spacing w:after="0"/>
        <w:ind w:left="0"/>
        <w:jc w:val="both"/>
      </w:pPr>
      <w:r>
        <w:rPr>
          <w:rFonts w:ascii="Times New Roman"/>
          <w:b w:val="false"/>
          <w:i w:val="false"/>
          <w:color w:val="000000"/>
          <w:sz w:val="28"/>
        </w:rPr>
        <w:t>
      Для сокращения данного неравенства в Казахстане будут обеспечены комплексная разработка и внедрение решений прикладного ИИ.</w:t>
      </w:r>
    </w:p>
    <w:bookmarkEnd w:id="589"/>
    <w:bookmarkStart w:name="z633" w:id="590"/>
    <w:p>
      <w:pPr>
        <w:spacing w:after="0"/>
        <w:ind w:left="0"/>
        <w:jc w:val="both"/>
      </w:pPr>
      <w:r>
        <w:rPr>
          <w:rFonts w:ascii="Times New Roman"/>
          <w:b w:val="false"/>
          <w:i w:val="false"/>
          <w:color w:val="000000"/>
          <w:sz w:val="28"/>
        </w:rPr>
        <w:t>
      Исходя из опыта международных стран, в целях перехода на платформенную модель цифровизации планируется создание Центра обработки данных и суперкомпьютера для ИИ, отвечающего современным требованиям накопления и обработки обезличенных данных как государственного, так и коммерческого сектора.</w:t>
      </w:r>
    </w:p>
    <w:bookmarkEnd w:id="590"/>
    <w:p>
      <w:pPr>
        <w:spacing w:after="0"/>
        <w:ind w:left="0"/>
        <w:jc w:val="both"/>
      </w:pPr>
      <w:bookmarkStart w:name="z634" w:id="591"/>
      <w:r>
        <w:rPr>
          <w:rFonts w:ascii="Times New Roman"/>
          <w:b w:val="false"/>
          <w:i w:val="false"/>
          <w:color w:val="000000"/>
          <w:sz w:val="28"/>
        </w:rPr>
        <w:t>
      _______________________________________</w:t>
      </w:r>
    </w:p>
    <w:bookmarkEnd w:id="591"/>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9</w:t>
      </w:r>
      <w:r>
        <w:rPr>
          <w:rFonts w:ascii="Times New Roman"/>
          <w:b w:val="false"/>
          <w:i w:val="false"/>
          <w:color w:val="000000"/>
          <w:sz w:val="28"/>
        </w:rPr>
        <w:t xml:space="preserve"> Отчет по экономическому потенциалу генеративного ИИ "The Economic Potential of Generative А1" (McKinsey Global Institute, 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592"/>
    <w:p>
      <w:pPr>
        <w:spacing w:after="0"/>
        <w:ind w:left="0"/>
        <w:jc w:val="both"/>
      </w:pPr>
      <w:r>
        <w:rPr>
          <w:rFonts w:ascii="Times New Roman"/>
          <w:b w:val="false"/>
          <w:i w:val="false"/>
          <w:color w:val="000000"/>
          <w:sz w:val="28"/>
        </w:rPr>
        <w:t>
      Кроме того, при совместном участии крупного бизнеса, стартапов, ученых и государственных органов разрабатывается стратегический документ по развитию ИИ. Для каждой отрасли предусмотрены приоритетные кейсы разработки и внедрения, которые получат грантовую и экспертную поддержку. В государственном секторе планируется завершить перевод всех данных на платформу с использованием аналитики на основе ИИ.</w:t>
      </w:r>
    </w:p>
    <w:bookmarkEnd w:id="592"/>
    <w:bookmarkStart w:name="z636" w:id="593"/>
    <w:p>
      <w:pPr>
        <w:spacing w:after="0"/>
        <w:ind w:left="0"/>
        <w:jc w:val="both"/>
      </w:pPr>
      <w:r>
        <w:rPr>
          <w:rFonts w:ascii="Times New Roman"/>
          <w:b w:val="false"/>
          <w:i w:val="false"/>
          <w:color w:val="000000"/>
          <w:sz w:val="28"/>
        </w:rPr>
        <w:t>
      Особое внимание будет уделено разработке локализованных языковых моделей, лежащих в основе генеративного ИИ. Такие модели позволят наиболее эффективно адаптировать прикладной ИИ к контексту страны и повысят экспортную привлекательность казахстанских решений ИИ во всех тюркоязычных странах.</w:t>
      </w:r>
    </w:p>
    <w:bookmarkEnd w:id="593"/>
    <w:bookmarkStart w:name="z637" w:id="594"/>
    <w:p>
      <w:pPr>
        <w:spacing w:after="0"/>
        <w:ind w:left="0"/>
        <w:jc w:val="both"/>
      </w:pPr>
      <w:r>
        <w:rPr>
          <w:rFonts w:ascii="Times New Roman"/>
          <w:b w:val="false"/>
          <w:i w:val="false"/>
          <w:color w:val="000000"/>
          <w:sz w:val="28"/>
        </w:rPr>
        <w:t>
      Использование ИИ в финансовой отрасли позволит улучшить точность прогнозов, автоматизировать рутинные операции, а также обеспечить более эффективное принятие решений. В данном контексте интеграция Национальной цифровой финансовой инфраструктуры в аналитическую систему государства станет ключевым инструментом для обеспечения высокой эффективности и инновационности в финансовой сфере.</w:t>
      </w:r>
    </w:p>
    <w:bookmarkEnd w:id="594"/>
    <w:bookmarkStart w:name="z638" w:id="595"/>
    <w:p>
      <w:pPr>
        <w:spacing w:after="0"/>
        <w:ind w:left="0"/>
        <w:jc w:val="both"/>
      </w:pPr>
      <w:r>
        <w:rPr>
          <w:rFonts w:ascii="Times New Roman"/>
          <w:b w:val="false"/>
          <w:i w:val="false"/>
          <w:color w:val="000000"/>
          <w:sz w:val="28"/>
        </w:rPr>
        <w:t>
      Технологии продвинутой связи объединяют набор проводных (оптоволоконные линии), беспроводных (Wi-Fi 6-го и 7-го поколений, сети 5G и 6G) и аэрокосмических решений (аэростаты, стратосферные беспилотные летательные аппараты и негеостационарные спутники связи). Их внедрение обеспечит рост скорости и стабильности Интернета при снижении энергопотребления, повысит эффективность развития Интернета вещей.</w:t>
      </w:r>
    </w:p>
    <w:bookmarkEnd w:id="595"/>
    <w:bookmarkStart w:name="z639" w:id="59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6. Развитие рынка венчурных инвестиций и повышение эффективности государственной поддержки инноваций</w:t>
      </w:r>
    </w:p>
    <w:bookmarkEnd w:id="596"/>
    <w:bookmarkStart w:name="z640" w:id="597"/>
    <w:p>
      <w:pPr>
        <w:spacing w:after="0"/>
        <w:ind w:left="0"/>
        <w:jc w:val="both"/>
      </w:pPr>
      <w:r>
        <w:rPr>
          <w:rFonts w:ascii="Times New Roman"/>
          <w:b w:val="false"/>
          <w:i w:val="false"/>
          <w:color w:val="000000"/>
          <w:sz w:val="28"/>
        </w:rPr>
        <w:t>
      Реализация данных задач поддержит доведение уровня финансирования НИОКР до 1% от ВВП и доли частного софинансирования проектов коммерциализации результатов научной и (или) научно-технической деятельности и прикладных научных исследований до 50% к 2029 году.</w:t>
      </w:r>
    </w:p>
    <w:bookmarkEnd w:id="597"/>
    <w:bookmarkStart w:name="z641" w:id="598"/>
    <w:p>
      <w:pPr>
        <w:spacing w:after="0"/>
        <w:ind w:left="0"/>
        <w:jc w:val="both"/>
      </w:pPr>
      <w:r>
        <w:rPr>
          <w:rFonts w:ascii="Times New Roman"/>
          <w:b w:val="false"/>
          <w:i w:val="false"/>
          <w:color w:val="000000"/>
          <w:sz w:val="28"/>
        </w:rPr>
        <w:t>
      Развитие венчурных инвестиций. Возможности венчурного финансирования предполагается расширить за счет трех мер: доработки регулирования, создания фондов новых форматов и повышения осведомленности заинтересованных сторон. Изменения в регулировании будут направлены на расширение возможностей вложения, включая изменение границ "права на ошибку", детализацию прав индивидуальных инвесторов и способов инвестирования. Среди новых форматов планируется организация фондов поздней стадии и встречных фондов. Для повышения осведомленности инвесторов и технологических компаний будут расширены сбор и публикация государственной статистики по объему венчурных сделок. Предусмотрена организация подготовки ежегодных аналитических материалов и их публикации в открытом доступе.</w:t>
      </w:r>
    </w:p>
    <w:bookmarkEnd w:id="598"/>
    <w:bookmarkStart w:name="z642" w:id="599"/>
    <w:p>
      <w:pPr>
        <w:spacing w:after="0"/>
        <w:ind w:left="0"/>
        <w:jc w:val="both"/>
      </w:pPr>
      <w:r>
        <w:rPr>
          <w:rFonts w:ascii="Times New Roman"/>
          <w:b w:val="false"/>
          <w:i w:val="false"/>
          <w:color w:val="000000"/>
          <w:sz w:val="28"/>
        </w:rPr>
        <w:t>
      Повышение эффективности государственных затрат на инновации позволит увеличить результативность инновационной деятельности в стране. Основными рычагами станут развитие принципов конкурсное™, института мониторинга инновационной системы и внедрение механизма финансирования и контроля пилотных проектов. Внедрение института финансирования пилотных проектов и программ снизит риски бюджетных потерь и позволит оперативно перераспределять средства на наиболее результативные проекты.</w:t>
      </w:r>
    </w:p>
    <w:bookmarkEnd w:id="599"/>
    <w:p>
      <w:pPr>
        <w:spacing w:after="0"/>
        <w:ind w:left="0"/>
        <w:jc w:val="both"/>
      </w:pPr>
      <w:r>
        <w:rPr>
          <w:rFonts w:ascii="Times New Roman"/>
          <w:b/>
          <w:i w:val="false"/>
          <w:color w:val="000000"/>
          <w:sz w:val="28"/>
        </w:rPr>
        <w:t>3.4. ТУРИЗМ</w:t>
      </w:r>
    </w:p>
    <w:bookmarkStart w:name="z644" w:id="60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00"/>
    <w:bookmarkStart w:name="z645" w:id="601"/>
    <w:p>
      <w:pPr>
        <w:spacing w:after="0"/>
        <w:ind w:left="0"/>
        <w:jc w:val="both"/>
      </w:pPr>
      <w:r>
        <w:rPr>
          <w:rFonts w:ascii="Times New Roman"/>
          <w:b w:val="false"/>
          <w:i w:val="false"/>
          <w:color w:val="000000"/>
          <w:sz w:val="28"/>
        </w:rPr>
        <w:t>
      Богатая история и культура, уникальная природа и стратегически выгодное географическое положение по соседству с густонаселенными странами обуславливают значительный потенциал для развития туризма в Казахстане: в 2022 году количество внутренних туристов, обслуженных местами размещения, достигло 6,4 млн человек, а иностранных - 0,9 млн человек. Доля туристской отрасли в структуре занятости сохранила устойчивость в период карантинных ограничений, составив в 2022 году 5,3%.</w:t>
      </w:r>
    </w:p>
    <w:bookmarkEnd w:id="601"/>
    <w:bookmarkStart w:name="z646" w:id="602"/>
    <w:p>
      <w:pPr>
        <w:spacing w:after="0"/>
        <w:ind w:left="0"/>
        <w:jc w:val="both"/>
      </w:pPr>
      <w:r>
        <w:rPr>
          <w:rFonts w:ascii="Times New Roman"/>
          <w:b w:val="false"/>
          <w:i w:val="false"/>
          <w:color w:val="000000"/>
          <w:sz w:val="28"/>
        </w:rPr>
        <w:t>
      В Индексе развития туризма Всемирного экономического форума в 2021 году Казахстан занял 66-е место из 117 стран, поднявшись на 14 позиций с предыдущего рейтинга 2019 года. Тем не менее потенциал отрасли еще не полностью реализован. Согласно данным официальной статистики, текущий вклад туризма в ВВП Казахстана в 2021 году составил 3,4%, что ниже среднего показателя по миру (8%) и значительно уступает показателям, например, соседних стран со схожим климатом и культурой. При этом развитие туристской отрасли в Казахстане сдерживают несколько вызовов.</w:t>
      </w:r>
    </w:p>
    <w:bookmarkEnd w:id="602"/>
    <w:bookmarkStart w:name="z647" w:id="603"/>
    <w:p>
      <w:pPr>
        <w:spacing w:after="0"/>
        <w:ind w:left="0"/>
        <w:jc w:val="both"/>
      </w:pPr>
      <w:r>
        <w:rPr>
          <w:rFonts w:ascii="Times New Roman"/>
          <w:b w:val="false"/>
          <w:i w:val="false"/>
          <w:color w:val="000000"/>
          <w:sz w:val="28"/>
        </w:rPr>
        <w:t>
      Отсутствие развитых точек притяжения регионального масштаба</w:t>
      </w:r>
    </w:p>
    <w:bookmarkEnd w:id="603"/>
    <w:bookmarkStart w:name="z648" w:id="604"/>
    <w:p>
      <w:pPr>
        <w:spacing w:after="0"/>
        <w:ind w:left="0"/>
        <w:jc w:val="both"/>
      </w:pPr>
      <w:r>
        <w:rPr>
          <w:rFonts w:ascii="Times New Roman"/>
          <w:b w:val="false"/>
          <w:i w:val="false"/>
          <w:color w:val="000000"/>
          <w:sz w:val="28"/>
        </w:rPr>
        <w:t>
      Одним из основных факторов, сдерживающих развитие отрасли, является недостаточно развитая инфраструктура туристских дестинаций, в том числе отсутствие или низкое качество дорог. Так по субиндексу "Качество инфраструктуры туристического обслуживания" вышеуказанного индекса страна находится на 76 месте. В частности, в городах Алматы и Астане остается относительно низкой доля отелей с оценкой не ниже 4 из 5 по мнению посетителей</w:t>
      </w:r>
      <w:r>
        <w:rPr>
          <w:rFonts w:ascii="Times New Roman"/>
          <w:b w:val="false"/>
          <w:i w:val="false"/>
          <w:color w:val="000000"/>
          <w:vertAlign w:val="superscript"/>
        </w:rPr>
        <w:t>30</w:t>
      </w:r>
      <w:r>
        <w:rPr>
          <w:rFonts w:ascii="Times New Roman"/>
          <w:b w:val="false"/>
          <w:i w:val="false"/>
          <w:color w:val="000000"/>
          <w:sz w:val="28"/>
        </w:rPr>
        <w:t>: всего около 9 - 12%. Для некоторых объектов также характерна высокая нагрузка на инфраструктуру в пиковые сезоны: например, в сезон катания Алматинский горный кластер обслуживает более 1,5 млн посетителей.</w:t>
      </w:r>
    </w:p>
    <w:bookmarkEnd w:id="604"/>
    <w:bookmarkStart w:name="z649" w:id="605"/>
    <w:p>
      <w:pPr>
        <w:spacing w:after="0"/>
        <w:ind w:left="0"/>
        <w:jc w:val="both"/>
      </w:pPr>
      <w:r>
        <w:rPr>
          <w:rFonts w:ascii="Times New Roman"/>
          <w:b w:val="false"/>
          <w:i w:val="false"/>
          <w:color w:val="000000"/>
          <w:sz w:val="28"/>
        </w:rPr>
        <w:t>
      Наряду с инфраструктурными вызовами в числе ключевых барьеров для отрасли отмечается низкий уровень обслуживания. Всемирный экономический форум в рамках оценки развитости индустрии туризма в Казахстане в 2021 году определил, что на качество сервиса напрямую влияет нехватка квалифицированных специалистов. Наибольшее отставание наблюдается в соответствии системы образования потребностям конкурентоспособной экономики и инвестициях в подготовку персонала.</w:t>
      </w:r>
    </w:p>
    <w:bookmarkEnd w:id="605"/>
    <w:p>
      <w:pPr>
        <w:spacing w:after="0"/>
        <w:ind w:left="0"/>
        <w:jc w:val="both"/>
      </w:pPr>
      <w:bookmarkStart w:name="z650" w:id="606"/>
      <w:r>
        <w:rPr>
          <w:rFonts w:ascii="Times New Roman"/>
          <w:b w:val="false"/>
          <w:i w:val="false"/>
          <w:color w:val="000000"/>
          <w:sz w:val="28"/>
        </w:rPr>
        <w:t>
      __________________________________</w:t>
      </w:r>
    </w:p>
    <w:bookmarkEnd w:id="606"/>
    <w:p>
      <w:pPr>
        <w:spacing w:after="0"/>
        <w:ind w:left="0"/>
        <w:jc w:val="both"/>
      </w:pPr>
      <w:r>
        <w:rPr>
          <w:rFonts w:ascii="Times New Roman"/>
          <w:b w:val="false"/>
          <w:i w:val="false"/>
          <w:color w:val="000000"/>
          <w:vertAlign w:val="superscript"/>
        </w:rPr>
        <w:t>3</w:t>
      </w:r>
      <w:r>
        <w:rPr>
          <w:rFonts w:ascii="Times New Roman"/>
          <w:b w:val="false"/>
          <w:i w:val="false"/>
          <w:color w:val="000000"/>
          <w:vertAlign w:val="superscript"/>
        </w:rPr>
        <w:t>0</w:t>
      </w:r>
      <w:r>
        <w:rPr>
          <w:rFonts w:ascii="Times New Roman"/>
          <w:b w:val="false"/>
          <w:i w:val="false"/>
          <w:color w:val="000000"/>
          <w:sz w:val="28"/>
        </w:rPr>
        <w:t xml:space="preserve"> На базе анализа оценок в TripAdvisor и Google на конец 2023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1" w:id="607"/>
    <w:p>
      <w:pPr>
        <w:spacing w:after="0"/>
        <w:ind w:left="0"/>
        <w:jc w:val="both"/>
      </w:pPr>
      <w:r>
        <w:rPr>
          <w:rFonts w:ascii="Times New Roman"/>
          <w:b w:val="false"/>
          <w:i w:val="false"/>
          <w:color w:val="000000"/>
          <w:sz w:val="28"/>
        </w:rPr>
        <w:t>
      Слабый приток зарубежных туристов</w:t>
      </w:r>
    </w:p>
    <w:bookmarkEnd w:id="607"/>
    <w:bookmarkStart w:name="z652" w:id="608"/>
    <w:p>
      <w:pPr>
        <w:spacing w:after="0"/>
        <w:ind w:left="0"/>
        <w:jc w:val="both"/>
      </w:pPr>
      <w:r>
        <w:rPr>
          <w:rFonts w:ascii="Times New Roman"/>
          <w:b w:val="false"/>
          <w:i w:val="false"/>
          <w:color w:val="000000"/>
          <w:sz w:val="28"/>
        </w:rPr>
        <w:t>
      Казахстан регистрирует значительно меньшее количество иностранных въездных туристов, чем, например, Грузия и Узбекистан (в 2021 году 1,3 млн против 1,7 и 1,9 млн человек в год соответственно, согласно национальной статистике данных стран). При этом официальное исследование въездных посетителей</w:t>
      </w:r>
      <w:r>
        <w:rPr>
          <w:rFonts w:ascii="Times New Roman"/>
          <w:b w:val="false"/>
          <w:i w:val="false"/>
          <w:color w:val="000000"/>
          <w:vertAlign w:val="superscript"/>
        </w:rPr>
        <w:t>31</w:t>
      </w:r>
      <w:r>
        <w:rPr>
          <w:rFonts w:ascii="Times New Roman"/>
          <w:b w:val="false"/>
          <w:i w:val="false"/>
          <w:color w:val="000000"/>
          <w:sz w:val="28"/>
        </w:rPr>
        <w:t xml:space="preserve"> указывает на то, что около 90% иностранных туристов прибывают в Казахстан из соседних стран (в основном Россия, Узбекистан и Кыргызстан), а приток туристов с крупных рынков развитых стран, таких как Европа, США, Китай и страны Восточной Азии, составляет около 5% от общего количества.</w:t>
      </w:r>
    </w:p>
    <w:bookmarkEnd w:id="608"/>
    <w:bookmarkStart w:name="z653" w:id="609"/>
    <w:p>
      <w:pPr>
        <w:spacing w:after="0"/>
        <w:ind w:left="0"/>
        <w:jc w:val="both"/>
      </w:pPr>
      <w:r>
        <w:rPr>
          <w:rFonts w:ascii="Times New Roman"/>
          <w:b w:val="false"/>
          <w:i w:val="false"/>
          <w:color w:val="000000"/>
          <w:sz w:val="28"/>
        </w:rPr>
        <w:t>
      Одним из ключевых факторов, влияющих на слабый приток зарубежных туристов, является слабая логистическая связанность, проявляющаяся как внутри страны, так и для путешествий из других стран. В рейтинге индекса развития туризма Казахстан занимает 73-е место из 117 стран по авиатранспортной инфраструктуре, 80-е - по наземной и портовой инфраструктуре.</w:t>
      </w:r>
    </w:p>
    <w:bookmarkEnd w:id="609"/>
    <w:bookmarkStart w:name="z654" w:id="610"/>
    <w:p>
      <w:pPr>
        <w:spacing w:after="0"/>
        <w:ind w:left="0"/>
        <w:jc w:val="both"/>
      </w:pPr>
      <w:r>
        <w:rPr>
          <w:rFonts w:ascii="Times New Roman"/>
          <w:b w:val="false"/>
          <w:i w:val="false"/>
          <w:color w:val="000000"/>
          <w:sz w:val="28"/>
        </w:rPr>
        <w:t>
      Приоритеты развития до 2029 года</w:t>
      </w:r>
    </w:p>
    <w:bookmarkEnd w:id="610"/>
    <w:bookmarkStart w:name="z655" w:id="611"/>
    <w:p>
      <w:pPr>
        <w:spacing w:after="0"/>
        <w:ind w:left="0"/>
        <w:jc w:val="both"/>
      </w:pPr>
      <w:r>
        <w:rPr>
          <w:rFonts w:ascii="Times New Roman"/>
          <w:b w:val="false"/>
          <w:i w:val="false"/>
          <w:color w:val="000000"/>
          <w:sz w:val="28"/>
        </w:rPr>
        <w:t>
      К 2029 году приоритетное развитие получат такие туристские дестинации, как города Астана и Алматы (включая Алматинский горный кластер), Мангистау, Туркестан, курортная зона Бурабай, обладающие наибольшим потенциалом в устойчивом привлечении зарубежных туристов.</w:t>
      </w:r>
    </w:p>
    <w:bookmarkEnd w:id="611"/>
    <w:bookmarkStart w:name="z656" w:id="61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Фокусное развитие приоритетных дестинаций</w:t>
      </w:r>
    </w:p>
    <w:bookmarkEnd w:id="612"/>
    <w:bookmarkStart w:name="z657" w:id="613"/>
    <w:p>
      <w:pPr>
        <w:spacing w:after="0"/>
        <w:ind w:left="0"/>
        <w:jc w:val="both"/>
      </w:pPr>
      <w:r>
        <w:rPr>
          <w:rFonts w:ascii="Times New Roman"/>
          <w:b w:val="false"/>
          <w:i w:val="false"/>
          <w:color w:val="000000"/>
          <w:sz w:val="28"/>
        </w:rPr>
        <w:t>
      Работа в данном направлении будет направлена на быстрый рост удовлетворенности посетителей и комплексное повышение качества туристского продукта.</w:t>
      </w:r>
    </w:p>
    <w:bookmarkEnd w:id="613"/>
    <w:bookmarkStart w:name="z658" w:id="614"/>
    <w:p>
      <w:pPr>
        <w:spacing w:after="0"/>
        <w:ind w:left="0"/>
        <w:jc w:val="both"/>
      </w:pPr>
      <w:r>
        <w:rPr>
          <w:rFonts w:ascii="Times New Roman"/>
          <w:b w:val="false"/>
          <w:i w:val="false"/>
          <w:color w:val="000000"/>
          <w:sz w:val="28"/>
        </w:rPr>
        <w:t>
      Развитие конкурентного туристского продукта. Создание успешных точек притяжения регионального масштаба потребует быстрого развития конкурентоспособных сетей гостиниц, ресторанов, современных музеев, парков и объектов развлечений, а также новых форматов туризма (например, глэмпинг и экотуризм), поддерживаемых сервисом международного уровня. Для повышения качества обслуживания в туризме будут разработаны стандарты, регламентирующие предоставление отдельных видов услуг и обеспечивающие их соответствие международным требованиям. Также предусмотрено проведение реформы системы классификации гостиниц.</w:t>
      </w:r>
    </w:p>
    <w:bookmarkEnd w:id="614"/>
    <w:bookmarkStart w:name="z659" w:id="615"/>
    <w:p>
      <w:pPr>
        <w:spacing w:after="0"/>
        <w:ind w:left="0"/>
        <w:jc w:val="both"/>
      </w:pPr>
      <w:r>
        <w:rPr>
          <w:rFonts w:ascii="Times New Roman"/>
          <w:b w:val="false"/>
          <w:i w:val="false"/>
          <w:color w:val="000000"/>
          <w:sz w:val="28"/>
        </w:rPr>
        <w:t>
      Развитие базовой инфраструктуры. Со стороны государства будет оказана поддержка развитию комфортной базовой инфраструктуры приоритетных дестинаций, включающей в том числе дороги и тропы, стоянки и кемпинги, базовые коммуникации и визит-центры.</w:t>
      </w:r>
    </w:p>
    <w:bookmarkEnd w:id="615"/>
    <w:bookmarkStart w:name="z660" w:id="616"/>
    <w:p>
      <w:pPr>
        <w:spacing w:after="0"/>
        <w:ind w:left="0"/>
        <w:jc w:val="both"/>
      </w:pPr>
      <w:r>
        <w:rPr>
          <w:rFonts w:ascii="Times New Roman"/>
          <w:b w:val="false"/>
          <w:i w:val="false"/>
          <w:color w:val="000000"/>
          <w:sz w:val="28"/>
        </w:rPr>
        <w:t>
      Снижение негативного влияния туризма на окружающую среду. По субиндексу "Экологическая устойчивость" Казахстан расположился на 104 месте из 117. Для улучшения ситуации необходимо стимулирование ответственного поведения и усиления контроля среди туристов, в том числе контроля ведения бизнеса в сфере туризма. Важно обеспечить балансирование потока и развитие круглогодичности через продвижение активностей в менее популярные сезоны, а также регулируемую дифференциацию тарифов в зависимости от сезона для наиболее нагруженных зон</w:t>
      </w:r>
      <w:r>
        <w:rPr>
          <w:rFonts w:ascii="Times New Roman"/>
          <w:b w:val="false"/>
          <w:i w:val="false"/>
          <w:color w:val="000000"/>
          <w:vertAlign w:val="superscript"/>
        </w:rPr>
        <w:t>32</w:t>
      </w:r>
      <w:r>
        <w:rPr>
          <w:rFonts w:ascii="Times New Roman"/>
          <w:b w:val="false"/>
          <w:i w:val="false"/>
          <w:color w:val="000000"/>
          <w:sz w:val="28"/>
        </w:rPr>
        <w:t>. Кроме того, необходимо управление потоками туристов путем ограничения количества доступного арендного жилья и пропусков в охраняемые зоны.</w:t>
      </w:r>
    </w:p>
    <w:bookmarkEnd w:id="616"/>
    <w:p>
      <w:pPr>
        <w:spacing w:after="0"/>
        <w:ind w:left="0"/>
        <w:jc w:val="both"/>
      </w:pPr>
      <w:bookmarkStart w:name="z661" w:id="617"/>
      <w:r>
        <w:rPr>
          <w:rFonts w:ascii="Times New Roman"/>
          <w:b w:val="false"/>
          <w:i w:val="false"/>
          <w:color w:val="000000"/>
          <w:sz w:val="28"/>
        </w:rPr>
        <w:t>
      ____________________________________</w:t>
      </w:r>
    </w:p>
    <w:bookmarkEnd w:id="617"/>
    <w:p>
      <w:pPr>
        <w:spacing w:after="0"/>
        <w:ind w:left="0"/>
        <w:jc w:val="both"/>
      </w:pPr>
      <w:r>
        <w:rPr>
          <w:rFonts w:ascii="Times New Roman"/>
          <w:b w:val="false"/>
          <w:i w:val="false"/>
          <w:color w:val="000000"/>
          <w:vertAlign w:val="superscript"/>
        </w:rPr>
        <w:t>31</w:t>
      </w:r>
      <w:r>
        <w:rPr>
          <w:rFonts w:ascii="Times New Roman"/>
          <w:b w:val="false"/>
          <w:i w:val="false"/>
          <w:color w:val="000000"/>
          <w:sz w:val="28"/>
        </w:rPr>
        <w:t xml:space="preserve"> Проводится Бюро национальной статистики Агентства по стратегическому планированию и реформам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2" w:id="61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популярности Казахстана как туристского направления на ключевых зарубежных рынках</w:t>
      </w:r>
    </w:p>
    <w:bookmarkEnd w:id="618"/>
    <w:bookmarkStart w:name="z663" w:id="619"/>
    <w:p>
      <w:pPr>
        <w:spacing w:after="0"/>
        <w:ind w:left="0"/>
        <w:jc w:val="both"/>
      </w:pPr>
      <w:r>
        <w:rPr>
          <w:rFonts w:ascii="Times New Roman"/>
          <w:b w:val="false"/>
          <w:i w:val="false"/>
          <w:color w:val="000000"/>
          <w:sz w:val="28"/>
        </w:rPr>
        <w:t>
      Развитие международного туристского потенциала Казахстана потребует кратного роста туристического потока из Китая и стран Восточной Азии, Ближнего Востока и Индии, обладающих большим и быстрорастущим классом граждан со средними и высокими доходами. Согласно данным Oxford Economics (2018 год), более 70% путешественников предпочитают для выездного туризма дестинации в пределах 4 часов полета, что делает Казахстан удобным направлением выездного туризма для указанных стран. Таким образом, к 2029 году ежегодный поток иностранных туристов составит 4 млн человек.</w:t>
      </w:r>
    </w:p>
    <w:bookmarkEnd w:id="619"/>
    <w:bookmarkStart w:name="z664" w:id="620"/>
    <w:p>
      <w:pPr>
        <w:spacing w:after="0"/>
        <w:ind w:left="0"/>
        <w:jc w:val="both"/>
      </w:pPr>
      <w:r>
        <w:rPr>
          <w:rFonts w:ascii="Times New Roman"/>
          <w:b w:val="false"/>
          <w:i w:val="false"/>
          <w:color w:val="000000"/>
          <w:sz w:val="28"/>
        </w:rPr>
        <w:t>
      Активное продвижение на целевых рынках. Реализация туристского потенциала в полном объеме Казахстана на приоритетных рынках потребует усиления подходов: маркетинговые кампании будут базироваться на адаптированном к специфике конкретной страны контенте, а казахстанский туристский продукт планируется продвигать при поддержке опытных местных партнеров. В дополнение к текущему общестрановому брендингу предусмотрена разработка развернутых кампаний продвижения конкретных приоритетных дестинаций.</w:t>
      </w:r>
    </w:p>
    <w:bookmarkEnd w:id="620"/>
    <w:bookmarkStart w:name="z665" w:id="621"/>
    <w:p>
      <w:pPr>
        <w:spacing w:after="0"/>
        <w:ind w:left="0"/>
        <w:jc w:val="both"/>
      </w:pPr>
      <w:r>
        <w:rPr>
          <w:rFonts w:ascii="Times New Roman"/>
          <w:b w:val="false"/>
          <w:i w:val="false"/>
          <w:color w:val="000000"/>
          <w:sz w:val="28"/>
        </w:rPr>
        <w:t>
      Усиление цифровой представленности объектов туризма. Опыт многих стран показывает, что наряду с отдельными веб-сайтами степень присутствия на таких популярных ресурсах, как, например, CTrip, TripAdvisor, Booking и экосистема Google, а также в популярных социальных сетях оказывает значительное влияние на успех туристского продукта. На начальных этапах крайне важными будут поддержка (в том числе в форме обучения) и стимулирование такой активности со стороны государства. Продолжится работа по цифровизации туристских услуг, в том числе деятельности гидов.</w:t>
      </w:r>
    </w:p>
    <w:bookmarkEnd w:id="621"/>
    <w:bookmarkStart w:name="z666" w:id="622"/>
    <w:p>
      <w:pPr>
        <w:spacing w:after="0"/>
        <w:ind w:left="0"/>
        <w:jc w:val="both"/>
      </w:pPr>
      <w:r>
        <w:rPr>
          <w:rFonts w:ascii="Times New Roman"/>
          <w:b w:val="false"/>
          <w:i w:val="false"/>
          <w:color w:val="000000"/>
          <w:sz w:val="28"/>
        </w:rPr>
        <w:t>
      Повышение связанности с целевыми рынками. Наряду с поддержанием и расширением статуса "открытого неба" одним из важных инструментов логистической связанности станет расширение присутствия лоукостеров на популярных маршрутах. Такие авиакомпании доказали эффективность в стимулировании туризма, однако их продвижение на казахстанский рынок остается умеренным: например, в Грузии и Азербайджане доля лоукост-авиаперевозок составляет соответственно 56% и 37%, тогда как в Казахстане - всего 21%</w:t>
      </w:r>
      <w:r>
        <w:rPr>
          <w:rFonts w:ascii="Times New Roman"/>
          <w:b w:val="false"/>
          <w:i w:val="false"/>
          <w:color w:val="000000"/>
          <w:vertAlign w:val="superscript"/>
        </w:rPr>
        <w:t>33</w:t>
      </w:r>
      <w:r>
        <w:rPr>
          <w:rFonts w:ascii="Times New Roman"/>
          <w:b w:val="false"/>
          <w:i w:val="false"/>
          <w:color w:val="000000"/>
          <w:sz w:val="28"/>
        </w:rPr>
        <w:t>. Еще одним рычагом может стать временная поддержка отдельных направлений с высоким потенциалом развития.</w:t>
      </w:r>
    </w:p>
    <w:bookmarkEnd w:id="622"/>
    <w:p>
      <w:pPr>
        <w:spacing w:after="0"/>
        <w:ind w:left="0"/>
        <w:jc w:val="both"/>
      </w:pPr>
      <w:bookmarkStart w:name="z667" w:id="623"/>
      <w:r>
        <w:rPr>
          <w:rFonts w:ascii="Times New Roman"/>
          <w:b w:val="false"/>
          <w:i w:val="false"/>
          <w:color w:val="000000"/>
          <w:sz w:val="28"/>
        </w:rPr>
        <w:t>
      ______________________________________</w:t>
      </w:r>
    </w:p>
    <w:bookmarkEnd w:id="623"/>
    <w:p>
      <w:pPr>
        <w:spacing w:after="0"/>
        <w:ind w:left="0"/>
        <w:jc w:val="both"/>
      </w:pPr>
      <w:r>
        <w:rPr>
          <w:rFonts w:ascii="Times New Roman"/>
          <w:b w:val="false"/>
          <w:i w:val="false"/>
          <w:color w:val="000000"/>
          <w:vertAlign w:val="superscript"/>
        </w:rPr>
        <w:t>32</w:t>
      </w:r>
      <w:r>
        <w:rPr>
          <w:rFonts w:ascii="Times New Roman"/>
          <w:b w:val="false"/>
          <w:i w:val="false"/>
          <w:color w:val="000000"/>
          <w:sz w:val="28"/>
        </w:rPr>
        <w:t xml:space="preserve"> Сверхприбыли "высоких" сезонов затем реинвестируются в поддержание инфраструктуры и культурных/природных объектов.</w:t>
      </w:r>
    </w:p>
    <w:bookmarkStart w:name="z668" w:id="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3</w:t>
      </w:r>
      <w:r>
        <w:rPr>
          <w:rFonts w:ascii="Times New Roman"/>
          <w:b w:val="false"/>
          <w:i w:val="false"/>
          <w:color w:val="000000"/>
          <w:sz w:val="28"/>
        </w:rPr>
        <w:t xml:space="preserve"> Отчет "Возможности бюджетных перевозчиков, либерализация воздушного транспорта и восстановление после пандемии", Центральноазиатская программа регионального экономического сотрудничества (CAREC), 2022 год.</w:t>
      </w:r>
    </w:p>
    <w:bookmarkEnd w:id="624"/>
    <w:p>
      <w:pPr>
        <w:spacing w:after="0"/>
        <w:ind w:left="0"/>
        <w:jc w:val="both"/>
      </w:pPr>
      <w:r>
        <w:rPr>
          <w:rFonts w:ascii="Times New Roman"/>
          <w:b/>
          <w:i w:val="false"/>
          <w:color w:val="000000"/>
          <w:sz w:val="28"/>
        </w:rPr>
        <w:t>4. СКВОЗНЫЕ ПРЕОБРАЗОВАНИЯ ЭКОНОМИКИ И ОБЩЕСТВА</w:t>
      </w:r>
    </w:p>
    <w:p>
      <w:pPr>
        <w:spacing w:after="0"/>
        <w:ind w:left="0"/>
        <w:jc w:val="both"/>
      </w:pPr>
      <w:r>
        <w:rPr>
          <w:rFonts w:ascii="Times New Roman"/>
          <w:b/>
          <w:i w:val="false"/>
          <w:color w:val="000000"/>
          <w:sz w:val="28"/>
        </w:rPr>
        <w:t>4.1. СОЗДАНИЕ ДИНАМИЧНОЙ ПРЕДПРИНИМАТЕЛЬСКОЙ СРЕДЫ</w:t>
      </w:r>
    </w:p>
    <w:bookmarkStart w:name="z671" w:id="625"/>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25"/>
    <w:bookmarkStart w:name="z672" w:id="626"/>
    <w:p>
      <w:pPr>
        <w:spacing w:after="0"/>
        <w:ind w:left="0"/>
        <w:jc w:val="both"/>
      </w:pPr>
      <w:r>
        <w:rPr>
          <w:rFonts w:ascii="Times New Roman"/>
          <w:b w:val="false"/>
          <w:i w:val="false"/>
          <w:color w:val="000000"/>
          <w:sz w:val="28"/>
        </w:rPr>
        <w:t>
      Малый и средний бизнес (МСБ) - один из наиболее динамично развивающихся сегментов экономики Казахстана.</w:t>
      </w:r>
    </w:p>
    <w:bookmarkEnd w:id="626"/>
    <w:bookmarkStart w:name="z673" w:id="627"/>
    <w:p>
      <w:pPr>
        <w:spacing w:after="0"/>
        <w:ind w:left="0"/>
        <w:jc w:val="both"/>
      </w:pPr>
      <w:r>
        <w:rPr>
          <w:rFonts w:ascii="Times New Roman"/>
          <w:b w:val="false"/>
          <w:i w:val="false"/>
          <w:color w:val="000000"/>
          <w:sz w:val="28"/>
        </w:rPr>
        <w:t>
      Вклад ВДС МСБ в ВВП страны увеличился с 26% в 2014 году до 35,1% в 2022 году на фоне обширных программ поддержки предпринимательства, упрощения процесса открытия предприятий и повышенного интереса населения к предпринимательской деятельности. МСБ также трудоустраивает 4,1 млн человек или 45,6% численности занятого населения.</w:t>
      </w:r>
    </w:p>
    <w:bookmarkEnd w:id="627"/>
    <w:bookmarkStart w:name="z674" w:id="628"/>
    <w:p>
      <w:pPr>
        <w:spacing w:after="0"/>
        <w:ind w:left="0"/>
        <w:jc w:val="both"/>
      </w:pPr>
      <w:r>
        <w:rPr>
          <w:rFonts w:ascii="Times New Roman"/>
          <w:b w:val="false"/>
          <w:i w:val="false"/>
          <w:color w:val="000000"/>
          <w:sz w:val="28"/>
        </w:rPr>
        <w:t>
      МСБ в Казахстане характеризуется низким уровнем производительности, налоговой отдачи и участием в глобальных цепочках и оперирует в условиях высокой бюрократии, значительных рыночных искажений и не ориентированной на результат поддержки.</w:t>
      </w:r>
    </w:p>
    <w:bookmarkEnd w:id="628"/>
    <w:bookmarkStart w:name="z675" w:id="629"/>
    <w:p>
      <w:pPr>
        <w:spacing w:after="0"/>
        <w:ind w:left="0"/>
        <w:jc w:val="both"/>
      </w:pPr>
      <w:r>
        <w:rPr>
          <w:rFonts w:ascii="Times New Roman"/>
          <w:b w:val="false"/>
          <w:i w:val="false"/>
          <w:color w:val="000000"/>
          <w:sz w:val="28"/>
        </w:rPr>
        <w:t xml:space="preserve">
      Низкие производительность МСБ и вклад среднего бизнеса </w:t>
      </w:r>
    </w:p>
    <w:bookmarkEnd w:id="629"/>
    <w:bookmarkStart w:name="z676" w:id="630"/>
    <w:p>
      <w:pPr>
        <w:spacing w:after="0"/>
        <w:ind w:left="0"/>
        <w:jc w:val="both"/>
      </w:pPr>
      <w:r>
        <w:rPr>
          <w:rFonts w:ascii="Times New Roman"/>
          <w:b w:val="false"/>
          <w:i w:val="false"/>
          <w:color w:val="000000"/>
          <w:sz w:val="28"/>
        </w:rPr>
        <w:t>
      Наблюдается низкая производительность МСБ: в 2022 году средний ВДС действующего МСБ составил 45 тыс. долл. США на субъект, что значительно ниже показателей развитых стран. При этом отраслевая структура демонстрирует концентрацию бизнеса в низкопроизводительных секторах. Крупнейшей отраслью в сегменте МСБ (включая индивидуальных предпринимателей) является торговля, на нее приходится 35% субъектов. Рост количества предприятий, также сконцентрированный в сегменте малого бизнеса, составил в 2014 - 2022 годах в среднем около 9% по сравнению с 1% в сегменте среднего бизнеса.</w:t>
      </w:r>
    </w:p>
    <w:bookmarkEnd w:id="630"/>
    <w:bookmarkStart w:name="z677" w:id="631"/>
    <w:p>
      <w:pPr>
        <w:spacing w:after="0"/>
        <w:ind w:left="0"/>
        <w:jc w:val="both"/>
      </w:pPr>
      <w:r>
        <w:rPr>
          <w:rFonts w:ascii="Times New Roman"/>
          <w:b w:val="false"/>
          <w:i w:val="false"/>
          <w:color w:val="000000"/>
          <w:sz w:val="28"/>
        </w:rPr>
        <w:t>
      Низкая налоговая продуктивность бизнеса</w:t>
      </w:r>
    </w:p>
    <w:bookmarkEnd w:id="631"/>
    <w:bookmarkStart w:name="z678" w:id="632"/>
    <w:p>
      <w:pPr>
        <w:spacing w:after="0"/>
        <w:ind w:left="0"/>
        <w:jc w:val="both"/>
      </w:pPr>
      <w:r>
        <w:rPr>
          <w:rFonts w:ascii="Times New Roman"/>
          <w:b w:val="false"/>
          <w:i w:val="false"/>
          <w:color w:val="000000"/>
          <w:sz w:val="28"/>
        </w:rPr>
        <w:t>
      Текущие практики правоприменения и администрирования исполнения законов прямо и/или косвенно мотивируют предпринимателей на дробление бизнеса по достижении определенного размера. Наиболее сильное влияние на такие решения оказывают значительное количество льготных налоговых режимов, налоговое администрирование и административное производство, создающие неравные условия для малых и средних компаний.</w:t>
      </w:r>
    </w:p>
    <w:bookmarkEnd w:id="632"/>
    <w:bookmarkStart w:name="z679" w:id="633"/>
    <w:p>
      <w:pPr>
        <w:spacing w:after="0"/>
        <w:ind w:left="0"/>
        <w:jc w:val="both"/>
      </w:pPr>
      <w:r>
        <w:rPr>
          <w:rFonts w:ascii="Times New Roman"/>
          <w:b w:val="false"/>
          <w:i w:val="false"/>
          <w:color w:val="000000"/>
          <w:sz w:val="28"/>
        </w:rPr>
        <w:t>
      Ограниченное участие казахстанского МСБ в глобальных цепочках создания стоимости</w:t>
      </w:r>
    </w:p>
    <w:bookmarkEnd w:id="633"/>
    <w:bookmarkStart w:name="z680" w:id="634"/>
    <w:p>
      <w:pPr>
        <w:spacing w:after="0"/>
        <w:ind w:left="0"/>
        <w:jc w:val="both"/>
      </w:pPr>
      <w:r>
        <w:rPr>
          <w:rFonts w:ascii="Times New Roman"/>
          <w:b w:val="false"/>
          <w:i w:val="false"/>
          <w:color w:val="000000"/>
          <w:sz w:val="28"/>
        </w:rPr>
        <w:t>
      МСБ Казахстана интернационализирован с точки зрения импорта, однако не вносит значительного вклада в экспорт. На МСБ приходится более 62% импорта товаров - в основном, готовая продукция для внутреннего потребления и около 18% экспорта, в то время как в развитых странах данный показатель составляет около 30 - 50%. Доля предприятий-экспортеров остается крайне низкой: менее 1% от всех предприятий МСБ, или около 500 компаний по итогам 2022 года. При этом из всего экспорта МСБ лишь 31,7% относится к несырьевым товарам, 6% товаров относятся к категории готовых товаров и 25% - к категории полуфабрикатов.</w:t>
      </w:r>
    </w:p>
    <w:bookmarkEnd w:id="634"/>
    <w:bookmarkStart w:name="z681" w:id="635"/>
    <w:p>
      <w:pPr>
        <w:spacing w:after="0"/>
        <w:ind w:left="0"/>
        <w:jc w:val="both"/>
      </w:pPr>
      <w:r>
        <w:rPr>
          <w:rFonts w:ascii="Times New Roman"/>
          <w:b w:val="false"/>
          <w:i w:val="false"/>
          <w:color w:val="000000"/>
          <w:sz w:val="28"/>
        </w:rPr>
        <w:t>
      Высокая доля прямого и косвенного государственного участия, монополизации рынков и неравные условия ведения бизнеса для МСБ</w:t>
      </w:r>
    </w:p>
    <w:bookmarkEnd w:id="635"/>
    <w:bookmarkStart w:name="z682" w:id="636"/>
    <w:p>
      <w:pPr>
        <w:spacing w:after="0"/>
        <w:ind w:left="0"/>
        <w:jc w:val="both"/>
      </w:pPr>
      <w:r>
        <w:rPr>
          <w:rFonts w:ascii="Times New Roman"/>
          <w:b w:val="false"/>
          <w:i w:val="false"/>
          <w:color w:val="000000"/>
          <w:sz w:val="28"/>
        </w:rPr>
        <w:t>
      Высокая степень участия государства является одной из ключевых характеристик экономики Казахстана. Вовлечение выражается как в прямом участии на рынках в качестве игрока, так и в искажающем рыночные механизмы регулировании.</w:t>
      </w:r>
    </w:p>
    <w:bookmarkEnd w:id="636"/>
    <w:bookmarkStart w:name="z683" w:id="637"/>
    <w:p>
      <w:pPr>
        <w:spacing w:after="0"/>
        <w:ind w:left="0"/>
        <w:jc w:val="both"/>
      </w:pPr>
      <w:r>
        <w:rPr>
          <w:rFonts w:ascii="Times New Roman"/>
          <w:b w:val="false"/>
          <w:i w:val="false"/>
          <w:color w:val="000000"/>
          <w:sz w:val="28"/>
        </w:rPr>
        <w:t>
      Сохраняется высокий уровень концентрации в базовых отраслях страны. Совокупная доля основных участников рынка (CR-3) в таких секторах, как топливно-энергетический комплекс, транспорт, телекоммуникации и связь, колеблется в диапазоне от 70 до 100%.</w:t>
      </w:r>
    </w:p>
    <w:bookmarkEnd w:id="637"/>
    <w:bookmarkStart w:name="z684" w:id="638"/>
    <w:p>
      <w:pPr>
        <w:spacing w:after="0"/>
        <w:ind w:left="0"/>
        <w:jc w:val="both"/>
      </w:pPr>
      <w:r>
        <w:rPr>
          <w:rFonts w:ascii="Times New Roman"/>
          <w:b w:val="false"/>
          <w:i w:val="false"/>
          <w:color w:val="000000"/>
          <w:sz w:val="28"/>
        </w:rPr>
        <w:t>
      Подобная структура рынков создает неконкурентные условия "игры" для представителей МСБ, часто имеющих ограниченный доступ к информации, сырью, инфраструктуре и производственным мощностям. К примеру, с подобной ситуацией часто сталкиваются в сфере логистики, где приоритет перевозок отдается крупным промышленным игрокам и транзитным перевозкам.</w:t>
      </w:r>
    </w:p>
    <w:bookmarkEnd w:id="638"/>
    <w:bookmarkStart w:name="z685" w:id="639"/>
    <w:p>
      <w:pPr>
        <w:spacing w:after="0"/>
        <w:ind w:left="0"/>
        <w:jc w:val="both"/>
      </w:pPr>
      <w:r>
        <w:rPr>
          <w:rFonts w:ascii="Times New Roman"/>
          <w:b w:val="false"/>
          <w:i w:val="false"/>
          <w:color w:val="000000"/>
          <w:sz w:val="28"/>
        </w:rPr>
        <w:t>
      Недостаточные прозрачность и ориентированность на результат мер государственной поддержки</w:t>
      </w:r>
    </w:p>
    <w:bookmarkEnd w:id="639"/>
    <w:bookmarkStart w:name="z686" w:id="640"/>
    <w:p>
      <w:pPr>
        <w:spacing w:after="0"/>
        <w:ind w:left="0"/>
        <w:jc w:val="both"/>
      </w:pPr>
      <w:r>
        <w:rPr>
          <w:rFonts w:ascii="Times New Roman"/>
          <w:b w:val="false"/>
          <w:i w:val="false"/>
          <w:color w:val="000000"/>
          <w:sz w:val="28"/>
        </w:rPr>
        <w:t>
      Существующие меры государственной поддержки МСБ (преимущественно удешевление стоимости финансирования) демонстрируют положительное влияние на вклад МСБ в экономику. Согласно исследованию Европейского банка реконструкции и развития, каждый 1 млрд тенге в рамках кредитной поддержки МСБ соответствует увеличению вклада МСБ в ВВП на 0,4 п.п., положительный эффект также наблюдается и на микроуровне отдельных предприятий.</w:t>
      </w:r>
    </w:p>
    <w:bookmarkEnd w:id="640"/>
    <w:bookmarkStart w:name="z687" w:id="641"/>
    <w:p>
      <w:pPr>
        <w:spacing w:after="0"/>
        <w:ind w:left="0"/>
        <w:jc w:val="both"/>
      </w:pPr>
      <w:r>
        <w:rPr>
          <w:rFonts w:ascii="Times New Roman"/>
          <w:b w:val="false"/>
          <w:i w:val="false"/>
          <w:color w:val="000000"/>
          <w:sz w:val="28"/>
        </w:rPr>
        <w:t>
      Вместе с тем возникают риски развития высокой зависимости "выживаемости" бизнеса от субсидий, а мониторинг эффективности и данные недостаточно систематизированы для объективной и полной оценки программ поддержки и степени подобных рисков. Отсутствуют механизмы приоритизации и стимулирования наиболее прозрачных, быстрорастущих, экспортоориентированных предприятий с высокой отдачей выделенных средств.</w:t>
      </w:r>
    </w:p>
    <w:bookmarkEnd w:id="641"/>
    <w:bookmarkStart w:name="z688" w:id="642"/>
    <w:p>
      <w:pPr>
        <w:spacing w:after="0"/>
        <w:ind w:left="0"/>
        <w:jc w:val="both"/>
      </w:pPr>
      <w:r>
        <w:rPr>
          <w:rFonts w:ascii="Times New Roman"/>
          <w:b w:val="false"/>
          <w:i w:val="false"/>
          <w:color w:val="000000"/>
          <w:sz w:val="28"/>
        </w:rPr>
        <w:t>
      Приоритеты развития до 2029 года</w:t>
      </w:r>
    </w:p>
    <w:bookmarkEnd w:id="642"/>
    <w:bookmarkStart w:name="z689" w:id="643"/>
    <w:p>
      <w:pPr>
        <w:spacing w:after="0"/>
        <w:ind w:left="0"/>
        <w:jc w:val="both"/>
      </w:pPr>
      <w:r>
        <w:rPr>
          <w:rFonts w:ascii="Times New Roman"/>
          <w:b w:val="false"/>
          <w:i w:val="false"/>
          <w:color w:val="000000"/>
          <w:sz w:val="28"/>
        </w:rPr>
        <w:t>
      Реализация приоритетов развития предпринимательства позволит увеличить вклад МСБ в экономику, и его развитие будет направлено на снижение административной нагрузки и коррупционных рисков через цифровизацию, стимулирование бизнеса к укрупнению и выходу из неформальной экономики, увеличение количества предприятий, ориентированных на экспорт, развитие конкуренции и снижение прямых и косвенных искажений рынка, совершенствование инструментов поддержки бизнеса.</w:t>
      </w:r>
    </w:p>
    <w:bookmarkEnd w:id="643"/>
    <w:bookmarkStart w:name="z690" w:id="644"/>
    <w:p>
      <w:pPr>
        <w:spacing w:after="0"/>
        <w:ind w:left="0"/>
        <w:jc w:val="both"/>
      </w:pPr>
      <w:r>
        <w:rPr>
          <w:rFonts w:ascii="Times New Roman"/>
          <w:b w:val="false"/>
          <w:i w:val="false"/>
          <w:color w:val="000000"/>
          <w:sz w:val="28"/>
        </w:rPr>
        <w:t>
      При этом будут созданы условия для развития конкурентных предприятий: увеличение косвенных инструментов поддержки бизнеса через фискальные стимулы, развитие бизнес-инфраструктуры, увеличение инвестиций в образование и другие неадресные формы поддержки приоритетных отраслей.</w:t>
      </w:r>
    </w:p>
    <w:bookmarkEnd w:id="644"/>
    <w:bookmarkStart w:name="z691" w:id="64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эффективности взаимодействия бизнеса и государства</w:t>
      </w:r>
    </w:p>
    <w:bookmarkEnd w:id="645"/>
    <w:bookmarkStart w:name="z692" w:id="646"/>
    <w:p>
      <w:pPr>
        <w:spacing w:after="0"/>
        <w:ind w:left="0"/>
        <w:jc w:val="both"/>
      </w:pPr>
      <w:r>
        <w:rPr>
          <w:rFonts w:ascii="Times New Roman"/>
          <w:b w:val="false"/>
          <w:i w:val="false"/>
          <w:color w:val="000000"/>
          <w:sz w:val="28"/>
        </w:rPr>
        <w:t>
      Совершенствование критериев и формата оценки программ поддержки МСБ и автоматизация соответствующей аналитики. На сегодняшний день наблюдается отсутствие четких критериев и процессов для оценки эффективности программ государственной поддержки, а также недостаточное развитие инфраструктуры в виде интегрированных баз данных. В этой связи необходимо принятие соответствующей методики, проведение регулярной оценки с применением подхода экспериментальной и контрольной групп. Такой подход потребует интеграции данных из государственных информационных систем как по получателям государственной поддержки, так и по прочим предприятиям. При дальнейшем внедрении каких-либо изменений в условия программ будет применяться подход А/В-тестирования и пилотирования на ограниченном количестве предприятий для снижения частоты, повышения обоснованности изменений в подходах и реализации концепции "Data-driven government".</w:t>
      </w:r>
    </w:p>
    <w:bookmarkEnd w:id="646"/>
    <w:bookmarkStart w:name="z693" w:id="647"/>
    <w:p>
      <w:pPr>
        <w:spacing w:after="0"/>
        <w:ind w:left="0"/>
        <w:jc w:val="both"/>
      </w:pPr>
      <w:r>
        <w:rPr>
          <w:rFonts w:ascii="Times New Roman"/>
          <w:b w:val="false"/>
          <w:i w:val="false"/>
          <w:color w:val="000000"/>
          <w:sz w:val="28"/>
        </w:rPr>
        <w:t>
      Дифференция доступности мер поддержки для поощрения наиболее результативных предприятий, в том числе через внедрение автоматизированной скоринг-системы получателей. В рамках данной работы необходимо провести градацию доступности инструментов поддержки (например, вариативность размера субсидий по ставкам кредитов) с привязкой к категории субъекта МСБ по его динамике налоговых выплат, стадии жизненного цикла, наличию экспортного потенциала, эффекту от ранее оказанной поддержки (повышение производительности труда, рост выручки и другое).</w:t>
      </w:r>
    </w:p>
    <w:bookmarkEnd w:id="647"/>
    <w:bookmarkStart w:name="z694" w:id="648"/>
    <w:p>
      <w:pPr>
        <w:spacing w:after="0"/>
        <w:ind w:left="0"/>
        <w:jc w:val="both"/>
      </w:pPr>
      <w:r>
        <w:rPr>
          <w:rFonts w:ascii="Times New Roman"/>
          <w:b w:val="false"/>
          <w:i w:val="false"/>
          <w:color w:val="000000"/>
          <w:sz w:val="28"/>
        </w:rPr>
        <w:t>
      При получении государственных интервенций приоритетными будут быстрорастущие и конкурентоспособные малые и средние предприятия. Поддержка также будет предоставляться при соблюдении дополнительных "качественных" условий, к примеру, после прохождения образовательных курсов по предпринимательству.</w:t>
      </w:r>
    </w:p>
    <w:bookmarkEnd w:id="648"/>
    <w:bookmarkStart w:name="z695" w:id="649"/>
    <w:p>
      <w:pPr>
        <w:spacing w:after="0"/>
        <w:ind w:left="0"/>
        <w:jc w:val="both"/>
      </w:pPr>
      <w:r>
        <w:rPr>
          <w:rFonts w:ascii="Times New Roman"/>
          <w:b w:val="false"/>
          <w:i w:val="false"/>
          <w:color w:val="000000"/>
          <w:sz w:val="28"/>
        </w:rPr>
        <w:t>
      Масштабирование цифрового взаимодействия государства и бизнеса запланировано реализовать путем внедрения цифровых карт бизнеса, содержащих всю информацию по каждому бизнесу, имеющуюся в различных государственных базах данных, базах данных организаций, а также других источниках. В свою очередь это позволит анализировать получаемые сведения, чтобы четко понимать, как работают стратегически важные секторы экономики. Также это позволит выявлять проблемные вопросы и принимать своевременные меры, проактивно находить перспективные компании, которым нужна поддержка, строить прогнозы развития.</w:t>
      </w:r>
    </w:p>
    <w:bookmarkEnd w:id="649"/>
    <w:bookmarkStart w:name="z696" w:id="650"/>
    <w:p>
      <w:pPr>
        <w:spacing w:after="0"/>
        <w:ind w:left="0"/>
        <w:jc w:val="both"/>
      </w:pPr>
      <w:r>
        <w:rPr>
          <w:rFonts w:ascii="Times New Roman"/>
          <w:b w:val="false"/>
          <w:i w:val="false"/>
          <w:color w:val="000000"/>
          <w:sz w:val="28"/>
        </w:rPr>
        <w:t>
      Автоматизация процедур предоставления отчетности и снижение количества разрешений. В рамках данной работы планируется провести аудит существующей структуры лицензий и разрешительных документов для снижения количества требований и где возможно перехода от разрешений к отчетности на добровольной основе.</w:t>
      </w:r>
    </w:p>
    <w:bookmarkEnd w:id="650"/>
    <w:bookmarkStart w:name="z697" w:id="651"/>
    <w:p>
      <w:pPr>
        <w:spacing w:after="0"/>
        <w:ind w:left="0"/>
        <w:jc w:val="both"/>
      </w:pPr>
      <w:r>
        <w:rPr>
          <w:rFonts w:ascii="Times New Roman"/>
          <w:b w:val="false"/>
          <w:i w:val="false"/>
          <w:color w:val="000000"/>
          <w:sz w:val="28"/>
        </w:rPr>
        <w:t>
      Наряду с этим в целях полноценного внедрения принципов регулирования "с чистого листа" в ряд отраслевых законодательных актов будут внесены изменения, направленные на смягчение процедур государственного контроля, снижение административной нагрузки на бизнес.</w:t>
      </w:r>
    </w:p>
    <w:bookmarkEnd w:id="651"/>
    <w:bookmarkStart w:name="z698" w:id="652"/>
    <w:p>
      <w:pPr>
        <w:spacing w:after="0"/>
        <w:ind w:left="0"/>
        <w:jc w:val="both"/>
      </w:pPr>
      <w:r>
        <w:rPr>
          <w:rFonts w:ascii="Times New Roman"/>
          <w:b w:val="false"/>
          <w:i w:val="false"/>
          <w:color w:val="000000"/>
          <w:sz w:val="28"/>
        </w:rPr>
        <w:t>
      Параллельно необходимо внедрить максимальную автоматизацию процедур предоставления отчетности, в частности налоговой, исходя из информации в рамках действующих общедоступных информационных систем.</w:t>
      </w:r>
    </w:p>
    <w:bookmarkEnd w:id="652"/>
    <w:bookmarkStart w:name="z699" w:id="65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экспортоориентированности и участия предприятий в глобальной торговле, продвижение отечественных производителей на внутреннем рынке</w:t>
      </w:r>
    </w:p>
    <w:bookmarkEnd w:id="653"/>
    <w:bookmarkStart w:name="z700" w:id="654"/>
    <w:p>
      <w:pPr>
        <w:spacing w:after="0"/>
        <w:ind w:left="0"/>
        <w:jc w:val="both"/>
      </w:pPr>
      <w:r>
        <w:rPr>
          <w:rFonts w:ascii="Times New Roman"/>
          <w:b w:val="false"/>
          <w:i w:val="false"/>
          <w:color w:val="000000"/>
          <w:sz w:val="28"/>
        </w:rPr>
        <w:t>
      Дальнейшее развитие поддержки экспорта. Развитие действующего широкого спектра инструментов поддержки экспортеров (торговое финансирование, страхование, возмещение затрат, аналитическая поддержка, размещение производителей на международных маркетплейсах) будет направлено на их гармонизацию и оптимизацию процесса получения поддержки.</w:t>
      </w:r>
    </w:p>
    <w:bookmarkEnd w:id="654"/>
    <w:bookmarkStart w:name="z701" w:id="655"/>
    <w:p>
      <w:pPr>
        <w:spacing w:after="0"/>
        <w:ind w:left="0"/>
        <w:jc w:val="both"/>
      </w:pPr>
      <w:r>
        <w:rPr>
          <w:rFonts w:ascii="Times New Roman"/>
          <w:b w:val="false"/>
          <w:i w:val="false"/>
          <w:color w:val="000000"/>
          <w:sz w:val="28"/>
        </w:rPr>
        <w:t>
      В рамках текущего процесса заявки на возмещение экспортных затрат рассматриваются лишь раз в год, а сроки рассмотрения достигают 3 месяцев, поэтому для обеспечения действенности мер и достаточности стимулов для бизнеса необходимы актуализация процессов и сокращение сроков получения поддержки.</w:t>
      </w:r>
    </w:p>
    <w:bookmarkEnd w:id="655"/>
    <w:bookmarkStart w:name="z702" w:id="656"/>
    <w:p>
      <w:pPr>
        <w:spacing w:after="0"/>
        <w:ind w:left="0"/>
        <w:jc w:val="both"/>
      </w:pPr>
      <w:r>
        <w:rPr>
          <w:rFonts w:ascii="Times New Roman"/>
          <w:b w:val="false"/>
          <w:i w:val="false"/>
          <w:color w:val="000000"/>
          <w:sz w:val="28"/>
        </w:rPr>
        <w:t>
      Платформа export.gov.kz, являющаяся ключевым интерфейсом взаимодействия государства и экспортеров, консолидирует государственные услуги и меры поддержки, необходимые при экспортных операциях, а также поддержит налаживание межфирменных связей для поиска партнеров и формирования экспортных консорциумов.</w:t>
      </w:r>
    </w:p>
    <w:bookmarkEnd w:id="656"/>
    <w:bookmarkStart w:name="z703" w:id="657"/>
    <w:p>
      <w:pPr>
        <w:spacing w:after="0"/>
        <w:ind w:left="0"/>
        <w:jc w:val="both"/>
      </w:pPr>
      <w:r>
        <w:rPr>
          <w:rFonts w:ascii="Times New Roman"/>
          <w:b w:val="false"/>
          <w:i w:val="false"/>
          <w:color w:val="000000"/>
          <w:sz w:val="28"/>
        </w:rPr>
        <w:t>
      Дальнейшее развитие получит торговая аналитика, призванная отслеживать актуальные тренды в международной торговле и оперативно выявлять возможности, релевантные для казахстанского бизнеса.</w:t>
      </w:r>
    </w:p>
    <w:bookmarkEnd w:id="657"/>
    <w:bookmarkStart w:name="z704" w:id="658"/>
    <w:p>
      <w:pPr>
        <w:spacing w:after="0"/>
        <w:ind w:left="0"/>
        <w:jc w:val="both"/>
      </w:pPr>
      <w:r>
        <w:rPr>
          <w:rFonts w:ascii="Times New Roman"/>
          <w:b w:val="false"/>
          <w:i w:val="false"/>
          <w:color w:val="000000"/>
          <w:sz w:val="28"/>
        </w:rPr>
        <w:t>
      Продвижение отечественных товаропроизводителей на внутреннем рынке. С целью защиты отечественного рынка от внешних шоков и обеспечения экономической безопасности страны будет продолжено проактивное применение торговых мер.</w:t>
      </w:r>
    </w:p>
    <w:bookmarkEnd w:id="658"/>
    <w:bookmarkStart w:name="z705" w:id="659"/>
    <w:p>
      <w:pPr>
        <w:spacing w:after="0"/>
        <w:ind w:left="0"/>
        <w:jc w:val="both"/>
      </w:pPr>
      <w:r>
        <w:rPr>
          <w:rFonts w:ascii="Times New Roman"/>
          <w:b w:val="false"/>
          <w:i w:val="false"/>
          <w:color w:val="000000"/>
          <w:sz w:val="28"/>
        </w:rPr>
        <w:t>
      Одним из инструментов защиты внутреннего рынка стал запуск во всех регионах страны социального проекта "Сапалы ошм", направленного на стимулирование общественного мониторинга товаров.</w:t>
      </w:r>
    </w:p>
    <w:bookmarkEnd w:id="659"/>
    <w:bookmarkStart w:name="z706" w:id="660"/>
    <w:p>
      <w:pPr>
        <w:spacing w:after="0"/>
        <w:ind w:left="0"/>
        <w:jc w:val="both"/>
      </w:pPr>
      <w:r>
        <w:rPr>
          <w:rFonts w:ascii="Times New Roman"/>
          <w:b w:val="false"/>
          <w:i w:val="false"/>
          <w:color w:val="000000"/>
          <w:sz w:val="28"/>
        </w:rPr>
        <w:t>
      Также продолжатся поддержка и защита отечественных производителей в части расширения их представленности на полках в торговых сетях и установления знака "Сделано в Казахстане".</w:t>
      </w:r>
    </w:p>
    <w:bookmarkEnd w:id="660"/>
    <w:bookmarkStart w:name="z707" w:id="661"/>
    <w:p>
      <w:pPr>
        <w:spacing w:after="0"/>
        <w:ind w:left="0"/>
        <w:jc w:val="both"/>
      </w:pPr>
      <w:r>
        <w:rPr>
          <w:rFonts w:ascii="Times New Roman"/>
          <w:b w:val="false"/>
          <w:i w:val="false"/>
          <w:color w:val="000000"/>
          <w:sz w:val="28"/>
        </w:rPr>
        <w:t>
      Для стимулирования повышения конкурентоспособности продукции отечественных товаропроизводителей и унификации условий производства индустриальный сертификат и сертификат "СТ-KZ" заменит национальный Реестр казахстанских товаров.</w:t>
      </w:r>
    </w:p>
    <w:bookmarkEnd w:id="661"/>
    <w:bookmarkStart w:name="z708" w:id="662"/>
    <w:p>
      <w:pPr>
        <w:spacing w:after="0"/>
        <w:ind w:left="0"/>
        <w:jc w:val="both"/>
      </w:pPr>
      <w:r>
        <w:rPr>
          <w:rFonts w:ascii="Times New Roman"/>
          <w:b w:val="false"/>
          <w:i w:val="false"/>
          <w:color w:val="000000"/>
          <w:sz w:val="28"/>
        </w:rPr>
        <w:t>
      Развитие технического регулирования, стандартизации и метрологии в среднесрочной перспективе также будет обеспечивать защиту внутреннего рынка и продвижение экспорта. Меры будут включать в том числе повышение уровня применения национальных стандартов, совершенствование национальной измерительной эталонной базы, расширение международно-признанных измерительных возможностей и лабораторной сети, работу по увеличению международного признания казахстанских документов.</w:t>
      </w:r>
    </w:p>
    <w:bookmarkEnd w:id="662"/>
    <w:bookmarkStart w:name="z709" w:id="663"/>
    <w:p>
      <w:pPr>
        <w:spacing w:after="0"/>
        <w:ind w:left="0"/>
        <w:jc w:val="both"/>
      </w:pPr>
      <w:r>
        <w:rPr>
          <w:rFonts w:ascii="Times New Roman"/>
          <w:b w:val="false"/>
          <w:i w:val="false"/>
          <w:color w:val="000000"/>
          <w:sz w:val="28"/>
        </w:rPr>
        <w:t>
      Кроме того, государство продолжит использовать регулируемые закупки в качестве стимулов для развития конкурентоспособного МСП. Регулируемые закупки будут выстроены с учетом механизмов, способствующих локализации производства в Казахстане.</w:t>
      </w:r>
    </w:p>
    <w:bookmarkEnd w:id="663"/>
    <w:bookmarkStart w:name="z710" w:id="664"/>
    <w:p>
      <w:pPr>
        <w:spacing w:after="0"/>
        <w:ind w:left="0"/>
        <w:jc w:val="both"/>
      </w:pPr>
      <w:r>
        <w:rPr>
          <w:rFonts w:ascii="Times New Roman"/>
          <w:b w:val="false"/>
          <w:i w:val="false"/>
          <w:color w:val="000000"/>
          <w:sz w:val="28"/>
        </w:rPr>
        <w:t>
      Снижение логистических и прочих торговых барьеров. Развитие логистической инфраструктуры, политика внешней торговли, промышленная политика и политика технического регулирования должны быть направлены на повышение участия казахстанского МСБ в глобальных цепочках создания стоимости. Детальнее вопросы логистики раскрыты в рамках направления "3.1. Транспортно-логистический комплекс".</w:t>
      </w:r>
    </w:p>
    <w:bookmarkEnd w:id="664"/>
    <w:bookmarkStart w:name="z711" w:id="66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Стимулирование бизнеса к укрупнению и выходу из неформальной экономики</w:t>
      </w:r>
    </w:p>
    <w:bookmarkEnd w:id="665"/>
    <w:bookmarkStart w:name="z712" w:id="666"/>
    <w:p>
      <w:pPr>
        <w:spacing w:after="0"/>
        <w:ind w:left="0"/>
        <w:jc w:val="both"/>
      </w:pPr>
      <w:r>
        <w:rPr>
          <w:rFonts w:ascii="Times New Roman"/>
          <w:b w:val="false"/>
          <w:i w:val="false"/>
          <w:color w:val="000000"/>
          <w:sz w:val="28"/>
        </w:rPr>
        <w:t>
      Использование продвинутой аналитики для определения компаний с признаками искусственного дробления. С учетом текущей тенденции бизнеса к дроблению необходима разработка инструмента продвинутой аналитики для идентификации бизнеса, использующего практику искусственного дробления и уклонения от налогов. При первичном обнаружении нарушений предприятиям будет предоставлено право на консолидацию без применения санкций.</w:t>
      </w:r>
    </w:p>
    <w:bookmarkEnd w:id="666"/>
    <w:bookmarkStart w:name="z713" w:id="667"/>
    <w:p>
      <w:pPr>
        <w:spacing w:after="0"/>
        <w:ind w:left="0"/>
        <w:jc w:val="both"/>
      </w:pPr>
      <w:r>
        <w:rPr>
          <w:rFonts w:ascii="Times New Roman"/>
          <w:b w:val="false"/>
          <w:i w:val="false"/>
          <w:color w:val="000000"/>
          <w:sz w:val="28"/>
        </w:rPr>
        <w:t>
      Создание субсидиарных и налоговых стимулов для укрупнения. Предусмотрены проведение ревизии перечня специальных налоговых режимов и уровней порогов, устранение неравенства наказаний для бизнеса разного размера и создание положительных стимулов к укрупнению в рамках разрабатываемой скоринг-системы государственной поддержки.</w:t>
      </w:r>
    </w:p>
    <w:bookmarkEnd w:id="667"/>
    <w:bookmarkStart w:name="z714" w:id="668"/>
    <w:p>
      <w:pPr>
        <w:spacing w:after="0"/>
        <w:ind w:left="0"/>
        <w:jc w:val="both"/>
      </w:pPr>
      <w:r>
        <w:rPr>
          <w:rFonts w:ascii="Times New Roman"/>
          <w:b w:val="false"/>
          <w:i w:val="false"/>
          <w:color w:val="000000"/>
          <w:sz w:val="28"/>
        </w:rPr>
        <w:t>
      Для снижения единовременной налоговой нагрузки на бизнес и предотвращения уклонения от налогов запланировано внедрение системы "рассрочки" налоговых платежей. Для повышения прозрачности использования отчисляемых бизнесом налогов и "геймификации" процесса предпринимателям будут предоставляться отчетность по использованию их налоговых отчислений, а также возможность влияния на распределение и направления доли отчислений на конкретные инициативы или проекты.</w:t>
      </w:r>
    </w:p>
    <w:bookmarkEnd w:id="668"/>
    <w:bookmarkStart w:name="z715" w:id="669"/>
    <w:p>
      <w:pPr>
        <w:spacing w:after="0"/>
        <w:ind w:left="0"/>
        <w:jc w:val="both"/>
      </w:pPr>
      <w:r>
        <w:rPr>
          <w:rFonts w:ascii="Times New Roman"/>
          <w:b w:val="false"/>
          <w:i w:val="false"/>
          <w:color w:val="000000"/>
          <w:sz w:val="28"/>
        </w:rPr>
        <w:t>
      Увеличение доли современных форматов торговли и внедрение цифровых инструментов. В среднесрочном периоде торговая политика будет направлена на рост производительности торговли с фокусом на создании безопасных и комфортных условий для ее участников.</w:t>
      </w:r>
    </w:p>
    <w:bookmarkEnd w:id="669"/>
    <w:bookmarkStart w:name="z716" w:id="670"/>
    <w:p>
      <w:pPr>
        <w:spacing w:after="0"/>
        <w:ind w:left="0"/>
        <w:jc w:val="both"/>
      </w:pPr>
      <w:r>
        <w:rPr>
          <w:rFonts w:ascii="Times New Roman"/>
          <w:b w:val="false"/>
          <w:i w:val="false"/>
          <w:color w:val="000000"/>
          <w:sz w:val="28"/>
        </w:rPr>
        <w:t>
      К 2029 году долю современных форматов торговли планируется довести до 70%, электронной торговли - до 18,5%, а торговые площади вырастут до 2,7 млн кв. м. Для определения потребности в торговых площадях предусмотрено проведение ревизии имеющихся объектов, в рамках которой будут проанализированы их достаточность, состояние, месторасположение, соответствие инфраструктуры предметам торговли и нормативам.</w:t>
      </w:r>
    </w:p>
    <w:bookmarkEnd w:id="670"/>
    <w:bookmarkStart w:name="z717" w:id="671"/>
    <w:p>
      <w:pPr>
        <w:spacing w:after="0"/>
        <w:ind w:left="0"/>
        <w:jc w:val="both"/>
      </w:pPr>
      <w:r>
        <w:rPr>
          <w:rFonts w:ascii="Times New Roman"/>
          <w:b w:val="false"/>
          <w:i w:val="false"/>
          <w:color w:val="000000"/>
          <w:sz w:val="28"/>
        </w:rPr>
        <w:t>
      В целях формирования четкой картины состояния инфраструктуры в регионах, а также внедрения продвинутой торговой аналитики предстоит проведение работы по оцифровке торговых объектов. Полученная информация в том числе будет отражена в интерактивной цифровой карте торговых объектов.</w:t>
      </w:r>
    </w:p>
    <w:bookmarkEnd w:id="671"/>
    <w:bookmarkStart w:name="z718" w:id="67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конкуренции и снижение искажений рынка</w:t>
      </w:r>
    </w:p>
    <w:bookmarkEnd w:id="672"/>
    <w:bookmarkStart w:name="z719" w:id="673"/>
    <w:p>
      <w:pPr>
        <w:spacing w:after="0"/>
        <w:ind w:left="0"/>
        <w:jc w:val="both"/>
      </w:pPr>
      <w:r>
        <w:rPr>
          <w:rFonts w:ascii="Times New Roman"/>
          <w:b w:val="false"/>
          <w:i w:val="false"/>
          <w:color w:val="000000"/>
          <w:sz w:val="28"/>
        </w:rPr>
        <w:t>
      Переход от принципа общего субсидирования через ценообразование к адресному субсидированию социально уязвимых слоев населения. По ряду монопольных товарных рынков, включая нефть и нефтепродукты, товарный газ, электроэнергию, будет совершен переход от модели общего субсидирования через регулирование и установку цен на уровне значительно ниже рыночных к модели адресного субсидирования. Переход к адресному субсидированию позволит увеличить эффективность предоставляемых субсидий, а также повысить привлекательность ряда отраслей.</w:t>
      </w:r>
    </w:p>
    <w:bookmarkEnd w:id="673"/>
    <w:bookmarkStart w:name="z720" w:id="674"/>
    <w:p>
      <w:pPr>
        <w:spacing w:after="0"/>
        <w:ind w:left="0"/>
        <w:jc w:val="both"/>
      </w:pPr>
      <w:r>
        <w:rPr>
          <w:rFonts w:ascii="Times New Roman"/>
          <w:b w:val="false"/>
          <w:i w:val="false"/>
          <w:color w:val="000000"/>
          <w:sz w:val="28"/>
        </w:rPr>
        <w:t>
      Обеспечение однородной конкурентной среды. Продолжится работа по актуализации регулирования для дальнейшего укрепления принципов равенства условий и стимулирования добросовестной конкуренции на всех рынках, за исключением ограниченного числа функций, критичных для функционирования государства и являющихся зоной действия государственных монополий.</w:t>
      </w:r>
    </w:p>
    <w:bookmarkEnd w:id="674"/>
    <w:bookmarkStart w:name="z721" w:id="675"/>
    <w:p>
      <w:pPr>
        <w:spacing w:after="0"/>
        <w:ind w:left="0"/>
        <w:jc w:val="both"/>
      </w:pPr>
      <w:r>
        <w:rPr>
          <w:rFonts w:ascii="Times New Roman"/>
          <w:b w:val="false"/>
          <w:i w:val="false"/>
          <w:color w:val="000000"/>
          <w:sz w:val="28"/>
        </w:rPr>
        <w:t>
      Крайне важной станет реализация принципа равноудаленности инфраструктурных операторов от участников рынка, который обеспечит независимость и беспристрастность при принятии решений по обеспечению доступа к инфраструктуре.</w:t>
      </w:r>
    </w:p>
    <w:bookmarkEnd w:id="675"/>
    <w:bookmarkStart w:name="z722" w:id="676"/>
    <w:p>
      <w:pPr>
        <w:spacing w:after="0"/>
        <w:ind w:left="0"/>
        <w:jc w:val="both"/>
      </w:pPr>
      <w:r>
        <w:rPr>
          <w:rFonts w:ascii="Times New Roman"/>
          <w:b w:val="false"/>
          <w:i w:val="false"/>
          <w:color w:val="000000"/>
          <w:sz w:val="28"/>
        </w:rPr>
        <w:t>
      Кроме того, будут приняты меры для укрепления однородной конкурентной среды между квазигосударственным сектором и частным бизнесом, реализации принципа "конкурентного нейтралитета" в соответствии с законодательством страны и применением передовой практики стран ОЭСР.</w:t>
      </w:r>
    </w:p>
    <w:bookmarkEnd w:id="676"/>
    <w:bookmarkStart w:name="z723" w:id="677"/>
    <w:p>
      <w:pPr>
        <w:spacing w:after="0"/>
        <w:ind w:left="0"/>
        <w:jc w:val="both"/>
      </w:pPr>
      <w:r>
        <w:rPr>
          <w:rFonts w:ascii="Times New Roman"/>
          <w:b w:val="false"/>
          <w:i w:val="false"/>
          <w:color w:val="000000"/>
          <w:sz w:val="28"/>
        </w:rPr>
        <w:t>
      По ряду рынков, включая грузовые железнодорожные перевозки, телекоммуникации, пассажирские авиаперевозки, топливно-энергетический комплекс, запланировано снижение доли государственного участия.</w:t>
      </w:r>
    </w:p>
    <w:bookmarkEnd w:id="677"/>
    <w:bookmarkStart w:name="z724" w:id="678"/>
    <w:p>
      <w:pPr>
        <w:spacing w:after="0"/>
        <w:ind w:left="0"/>
        <w:jc w:val="both"/>
      </w:pPr>
      <w:r>
        <w:rPr>
          <w:rFonts w:ascii="Times New Roman"/>
          <w:b w:val="false"/>
          <w:i w:val="false"/>
          <w:color w:val="000000"/>
          <w:sz w:val="28"/>
        </w:rPr>
        <w:t>
      Одним из первых шагов станут пересмотр реестра государственного имущества и уточнение методологических аспектов процесса приватизации, а также определение конкретного перечня крупных объектов для публичного размещения акций (IPO).</w:t>
      </w:r>
    </w:p>
    <w:bookmarkEnd w:id="678"/>
    <w:bookmarkStart w:name="z725" w:id="679"/>
    <w:p>
      <w:pPr>
        <w:spacing w:after="0"/>
        <w:ind w:left="0"/>
        <w:jc w:val="both"/>
      </w:pPr>
      <w:r>
        <w:rPr>
          <w:rFonts w:ascii="Times New Roman"/>
          <w:b w:val="false"/>
          <w:i w:val="false"/>
          <w:color w:val="000000"/>
          <w:sz w:val="28"/>
        </w:rPr>
        <w:t>
      Основным приоритетом антимонопольного регулирования станет внедрение проактивной конкурентной политики с уходом от карательных подходов к более широкому применению инструментов "мягкого права".</w:t>
      </w:r>
    </w:p>
    <w:bookmarkEnd w:id="679"/>
    <w:bookmarkStart w:name="z726" w:id="680"/>
    <w:p>
      <w:pPr>
        <w:spacing w:after="0"/>
        <w:ind w:left="0"/>
        <w:jc w:val="both"/>
      </w:pPr>
      <w:r>
        <w:rPr>
          <w:rFonts w:ascii="Times New Roman"/>
          <w:b w:val="false"/>
          <w:i w:val="false"/>
          <w:color w:val="000000"/>
          <w:sz w:val="28"/>
        </w:rPr>
        <w:t>
      Развитие биржевой торговли и принципов "открытых рынков"</w:t>
      </w:r>
      <w:r>
        <w:rPr>
          <w:rFonts w:ascii="Times New Roman"/>
          <w:b w:val="false"/>
          <w:i w:val="false"/>
          <w:color w:val="000000"/>
          <w:vertAlign w:val="superscript"/>
        </w:rPr>
        <w:t>34</w:t>
      </w:r>
      <w:r>
        <w:rPr>
          <w:rFonts w:ascii="Times New Roman"/>
          <w:b w:val="false"/>
          <w:i w:val="false"/>
          <w:color w:val="000000"/>
          <w:sz w:val="28"/>
        </w:rPr>
        <w:t>. В рамках данной работы предусмотрено расширение перечней стандартизированных товаров для биржевой торговли посредством включения энергоносителей, электроэнергии и сельскохозяйственного сырья. Развитие биржевой торговли будет сопровождаться внедрением биржевых деривативов, созданием собственных биржевых складов и надежной гарантией расчетов через механизм клиринговых услуг.</w:t>
      </w:r>
    </w:p>
    <w:bookmarkEnd w:id="680"/>
    <w:p>
      <w:pPr>
        <w:spacing w:after="0"/>
        <w:ind w:left="0"/>
        <w:jc w:val="both"/>
      </w:pPr>
      <w:bookmarkStart w:name="z727" w:id="681"/>
      <w:r>
        <w:rPr>
          <w:rFonts w:ascii="Times New Roman"/>
          <w:b w:val="false"/>
          <w:i w:val="false"/>
          <w:color w:val="000000"/>
          <w:sz w:val="28"/>
        </w:rPr>
        <w:t>
      ______________________________________</w:t>
      </w:r>
    </w:p>
    <w:bookmarkEnd w:id="681"/>
    <w:p>
      <w:pPr>
        <w:spacing w:after="0"/>
        <w:ind w:left="0"/>
        <w:jc w:val="both"/>
      </w:pPr>
      <w:r>
        <w:rPr>
          <w:rFonts w:ascii="Times New Roman"/>
          <w:b w:val="false"/>
          <w:i w:val="false"/>
          <w:color w:val="000000"/>
          <w:vertAlign w:val="superscript"/>
        </w:rPr>
        <w:t>34</w:t>
      </w:r>
      <w:r>
        <w:rPr>
          <w:rFonts w:ascii="Times New Roman"/>
          <w:b w:val="false"/>
          <w:i w:val="false"/>
          <w:color w:val="000000"/>
          <w:sz w:val="28"/>
        </w:rPr>
        <w:t xml:space="preserve"> Так называемые "open markets".</w:t>
      </w:r>
    </w:p>
    <w:bookmarkStart w:name="z728" w:id="682"/>
    <w:p>
      <w:pPr>
        <w:spacing w:after="0"/>
        <w:ind w:left="0"/>
        <w:jc w:val="both"/>
      </w:pPr>
      <w:r>
        <w:rPr>
          <w:rFonts w:ascii="Times New Roman"/>
          <w:b w:val="false"/>
          <w:i w:val="false"/>
          <w:color w:val="000000"/>
          <w:sz w:val="28"/>
        </w:rPr>
        <w:t>
      В среднесрочном периоде биржевая политика будет направлена на формирование сильной биржевой инфраструктуры с фокусом на усиление IT-платформ товарных бирж и соблюдение информационной безопасности.</w:t>
      </w:r>
    </w:p>
    <w:bookmarkEnd w:id="682"/>
    <w:bookmarkStart w:name="z729" w:id="683"/>
    <w:p>
      <w:pPr>
        <w:spacing w:after="0"/>
        <w:ind w:left="0"/>
        <w:jc w:val="both"/>
      </w:pPr>
      <w:r>
        <w:rPr>
          <w:rFonts w:ascii="Times New Roman"/>
          <w:b w:val="false"/>
          <w:i w:val="false"/>
          <w:color w:val="000000"/>
          <w:sz w:val="28"/>
        </w:rPr>
        <w:t>
      Результатом данной работы станет рост доли биржевой торговли стандартизированными товарами на 25% к 2029 году относительно 2023 года.</w:t>
      </w:r>
    </w:p>
    <w:bookmarkEnd w:id="683"/>
    <w:bookmarkStart w:name="z730" w:id="684"/>
    <w:p>
      <w:pPr>
        <w:spacing w:after="0"/>
        <w:ind w:left="0"/>
        <w:jc w:val="both"/>
      </w:pPr>
      <w:r>
        <w:rPr>
          <w:rFonts w:ascii="Times New Roman"/>
          <w:b w:val="false"/>
          <w:i w:val="false"/>
          <w:color w:val="000000"/>
          <w:sz w:val="28"/>
        </w:rPr>
        <w:t>
      В целях вывода оборота товаров из тени, стимулирования честной конкуренции на товарных рынках, снижения необоснованных ценовых надбавок и общего повышения эффективности рынка будет обеспечена прослеживаемость товаров.</w:t>
      </w:r>
    </w:p>
    <w:bookmarkEnd w:id="684"/>
    <w:bookmarkStart w:name="z731" w:id="685"/>
    <w:p>
      <w:pPr>
        <w:spacing w:after="0"/>
        <w:ind w:left="0"/>
        <w:jc w:val="both"/>
      </w:pPr>
      <w:r>
        <w:rPr>
          <w:rFonts w:ascii="Times New Roman"/>
          <w:b w:val="false"/>
          <w:i w:val="false"/>
          <w:color w:val="000000"/>
          <w:sz w:val="28"/>
        </w:rPr>
        <w:t>
      Перечень товаров, попадающих под обязательную маркировку, расширится с учетом таких критериев, как, например, доля "серого" импорта категории, текущая рыночная стоимость и наличие производства в Казахстане, а регламентация процессов получит правовое усиление. Также предусмотрено проведение работы по созданию справочника объектов государственного контроля, оцифровке подтверждающих документов и расширению применения только цифровых документов, причем в большинстве в машиночитаемом виде.</w:t>
      </w:r>
    </w:p>
    <w:bookmarkEnd w:id="685"/>
    <w:p>
      <w:pPr>
        <w:spacing w:after="0"/>
        <w:ind w:left="0"/>
        <w:jc w:val="both"/>
      </w:pPr>
      <w:r>
        <w:rPr>
          <w:rFonts w:ascii="Times New Roman"/>
          <w:b/>
          <w:i w:val="false"/>
          <w:color w:val="000000"/>
          <w:sz w:val="28"/>
        </w:rPr>
        <w:t>4.2. НОВЫЙ ИНВЕСТИЦИОННЫЙ ЦИКЛ</w:t>
      </w:r>
    </w:p>
    <w:bookmarkStart w:name="z733" w:id="686"/>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86"/>
    <w:bookmarkStart w:name="z734" w:id="687"/>
    <w:p>
      <w:pPr>
        <w:spacing w:after="0"/>
        <w:ind w:left="0"/>
        <w:jc w:val="both"/>
      </w:pPr>
      <w:r>
        <w:rPr>
          <w:rFonts w:ascii="Times New Roman"/>
          <w:b w:val="false"/>
          <w:i w:val="false"/>
          <w:color w:val="000000"/>
          <w:sz w:val="28"/>
        </w:rPr>
        <w:t>
      Инвестиции являются одним из основных факторов, обеспечивающих долгосрочное экономическое развитие: они способствуют расширению производственных мощностей, повышению производительности и эффективности за счет финансирования инноваций, развитию инфраструктуры и созданию новых рабочих мест.</w:t>
      </w:r>
    </w:p>
    <w:bookmarkEnd w:id="687"/>
    <w:bookmarkStart w:name="z735" w:id="688"/>
    <w:p>
      <w:pPr>
        <w:spacing w:after="0"/>
        <w:ind w:left="0"/>
        <w:jc w:val="both"/>
      </w:pPr>
      <w:r>
        <w:rPr>
          <w:rFonts w:ascii="Times New Roman"/>
          <w:b w:val="false"/>
          <w:i w:val="false"/>
          <w:color w:val="000000"/>
          <w:sz w:val="28"/>
        </w:rPr>
        <w:t>
      В Казахстане наблюдается снижение доли инвестиций в экономике: соотношение ИОК к ВВП сократилось с 18% в 2012 году до 14,6% в 2023 году.</w:t>
      </w:r>
    </w:p>
    <w:bookmarkEnd w:id="688"/>
    <w:bookmarkStart w:name="z736" w:id="689"/>
    <w:p>
      <w:pPr>
        <w:spacing w:after="0"/>
        <w:ind w:left="0"/>
        <w:jc w:val="both"/>
      </w:pPr>
      <w:r>
        <w:rPr>
          <w:rFonts w:ascii="Times New Roman"/>
          <w:b w:val="false"/>
          <w:i w:val="false"/>
          <w:color w:val="000000"/>
          <w:sz w:val="28"/>
        </w:rPr>
        <w:t>
      К ключевым факторам, которые обуславливают данную картину, относятся снижение чистого притока прямых иностранных инвестиций и низкая степень участия банков в кредитовании реального сектора экономики.</w:t>
      </w:r>
    </w:p>
    <w:bookmarkEnd w:id="689"/>
    <w:bookmarkStart w:name="z737" w:id="690"/>
    <w:p>
      <w:pPr>
        <w:spacing w:after="0"/>
        <w:ind w:left="0"/>
        <w:jc w:val="both"/>
      </w:pPr>
      <w:r>
        <w:rPr>
          <w:rFonts w:ascii="Times New Roman"/>
          <w:b w:val="false"/>
          <w:i w:val="false"/>
          <w:color w:val="000000"/>
          <w:sz w:val="28"/>
        </w:rPr>
        <w:t>
      Снижение чистого притока прямых иностранных инвестиций</w:t>
      </w:r>
    </w:p>
    <w:bookmarkEnd w:id="690"/>
    <w:bookmarkStart w:name="z738" w:id="691"/>
    <w:p>
      <w:pPr>
        <w:spacing w:after="0"/>
        <w:ind w:left="0"/>
        <w:jc w:val="both"/>
      </w:pPr>
      <w:r>
        <w:rPr>
          <w:rFonts w:ascii="Times New Roman"/>
          <w:b w:val="false"/>
          <w:i w:val="false"/>
          <w:color w:val="000000"/>
          <w:sz w:val="28"/>
        </w:rPr>
        <w:t>
      В период с 2010 по 2021 год чистый приток иностранных инвестиций в Казахстан уменьшился с 11,6 млрд до 3,4 млрд долл. США. При этом приток обеспечивается преимущественно реинвестированием доходов от текущих проектов. Более 60% прямых иностранных инвестиций (далее - ПИИ) относятся к крупнейшим нефтегазовым проектам.</w:t>
      </w:r>
    </w:p>
    <w:bookmarkEnd w:id="691"/>
    <w:bookmarkStart w:name="z739" w:id="692"/>
    <w:p>
      <w:pPr>
        <w:spacing w:after="0"/>
        <w:ind w:left="0"/>
        <w:jc w:val="both"/>
      </w:pPr>
      <w:r>
        <w:rPr>
          <w:rFonts w:ascii="Times New Roman"/>
          <w:b w:val="false"/>
          <w:i w:val="false"/>
          <w:color w:val="000000"/>
          <w:sz w:val="28"/>
        </w:rPr>
        <w:t>
      Приток внешних инвестиций в Казахстан сокращается на фоне глобального снижения ПИИ: после периода роста на уровне 9% в год (2012 - 2016 годы) и достижения пиковых показателей в середине 2010-х общемировые потоки ПИИ снижались в среднем на 5% ежегодно, что обуславливает рост конкуренции за меньший объем прямых иностранных инвестиций.</w:t>
      </w:r>
    </w:p>
    <w:bookmarkEnd w:id="692"/>
    <w:bookmarkStart w:name="z740" w:id="693"/>
    <w:p>
      <w:pPr>
        <w:spacing w:after="0"/>
        <w:ind w:left="0"/>
        <w:jc w:val="both"/>
      </w:pPr>
      <w:r>
        <w:rPr>
          <w:rFonts w:ascii="Times New Roman"/>
          <w:b w:val="false"/>
          <w:i w:val="false"/>
          <w:color w:val="000000"/>
          <w:sz w:val="28"/>
        </w:rPr>
        <w:t>
      Низкая степень участия банков в кредитовании реального сектора экономики</w:t>
      </w:r>
    </w:p>
    <w:bookmarkEnd w:id="693"/>
    <w:bookmarkStart w:name="z741" w:id="694"/>
    <w:p>
      <w:pPr>
        <w:spacing w:after="0"/>
        <w:ind w:left="0"/>
        <w:jc w:val="both"/>
      </w:pPr>
      <w:r>
        <w:rPr>
          <w:rFonts w:ascii="Times New Roman"/>
          <w:b w:val="false"/>
          <w:i w:val="false"/>
          <w:color w:val="000000"/>
          <w:sz w:val="28"/>
        </w:rPr>
        <w:t>
      Доля кредитов юридических лиц к ВВП составляет 8%, что ниже показателей сравнимых стран: Чили (48%), России (39%), Узбекистана (33%) и Грузии (29%). Заемные средства в структуре инвестиций в основной капитал сохраняют незначительную долю. В числе факторов, влияющих на формирование такой ситуации, являются низкая диверсификация экономики, преобладающая доля государственной поддержки, краткосрочная база фондирования банков, дефицит качественных корпоративных заемщиков, слабый уровень прозрачности и практики ведения бизнеса, в особенности в сегменте малого бизнеса.</w:t>
      </w:r>
    </w:p>
    <w:bookmarkEnd w:id="694"/>
    <w:bookmarkStart w:name="z742" w:id="695"/>
    <w:p>
      <w:pPr>
        <w:spacing w:after="0"/>
        <w:ind w:left="0"/>
        <w:jc w:val="both"/>
      </w:pPr>
      <w:r>
        <w:rPr>
          <w:rFonts w:ascii="Times New Roman"/>
          <w:b w:val="false"/>
          <w:i w:val="false"/>
          <w:color w:val="000000"/>
          <w:sz w:val="28"/>
        </w:rPr>
        <w:t>
      Приоритеты развития до 2029 года</w:t>
      </w:r>
    </w:p>
    <w:bookmarkEnd w:id="695"/>
    <w:bookmarkStart w:name="z743" w:id="696"/>
    <w:p>
      <w:pPr>
        <w:spacing w:after="0"/>
        <w:ind w:left="0"/>
        <w:jc w:val="both"/>
      </w:pPr>
      <w:r>
        <w:rPr>
          <w:rFonts w:ascii="Times New Roman"/>
          <w:b w:val="false"/>
          <w:i w:val="false"/>
          <w:color w:val="000000"/>
          <w:sz w:val="28"/>
        </w:rPr>
        <w:t>
      С учетом нового вектора развития экономики и цели по двукратному увеличению ее объема к 2029 году соотношение ИОК к ВВП достигнет 23%.</w:t>
      </w:r>
    </w:p>
    <w:bookmarkEnd w:id="696"/>
    <w:bookmarkStart w:name="z744" w:id="697"/>
    <w:p>
      <w:pPr>
        <w:spacing w:after="0"/>
        <w:ind w:left="0"/>
        <w:jc w:val="both"/>
      </w:pPr>
      <w:r>
        <w:rPr>
          <w:rFonts w:ascii="Times New Roman"/>
          <w:b w:val="false"/>
          <w:i w:val="false"/>
          <w:color w:val="000000"/>
          <w:sz w:val="28"/>
        </w:rPr>
        <w:t>
      Для достижения данного показателя до 2029 года необходимы комплексный пересмотр всего цикла привлечения инвестиций: от инвестиционной стратегии и целеполагания до постмониторинга инвестиций, а также стимулирование банковского кредитования реального сектора и развитие альтернативных источников финансирования, безусловная защита интересов инвесторов и формирование качественной системы инвестиционных преференций.</w:t>
      </w:r>
    </w:p>
    <w:bookmarkEnd w:id="697"/>
    <w:bookmarkStart w:name="z745" w:id="698"/>
    <w:p>
      <w:pPr>
        <w:spacing w:after="0"/>
        <w:ind w:left="0"/>
        <w:jc w:val="both"/>
      </w:pPr>
      <w:r>
        <w:rPr>
          <w:rFonts w:ascii="Times New Roman"/>
          <w:b w:val="false"/>
          <w:i w:val="false"/>
          <w:color w:val="000000"/>
          <w:sz w:val="28"/>
        </w:rPr>
        <w:t>
      Обеспечение стабильной низкой инфляции вблизи цели является важным фактором, создающим предсказуемую макроэкономическую среду для долгосрочных инвестиций.</w:t>
      </w:r>
    </w:p>
    <w:bookmarkEnd w:id="698"/>
    <w:bookmarkStart w:name="z746" w:id="69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Совершенствование институционального каркаса инвестиционной политики</w:t>
      </w:r>
    </w:p>
    <w:bookmarkEnd w:id="699"/>
    <w:bookmarkStart w:name="z747" w:id="700"/>
    <w:p>
      <w:pPr>
        <w:spacing w:after="0"/>
        <w:ind w:left="0"/>
        <w:jc w:val="both"/>
      </w:pPr>
      <w:r>
        <w:rPr>
          <w:rFonts w:ascii="Times New Roman"/>
          <w:b w:val="false"/>
          <w:i w:val="false"/>
          <w:color w:val="000000"/>
          <w:sz w:val="28"/>
        </w:rPr>
        <w:t>
      В основе долгосрочного успеха по привлечению инвестиций в страну лежат эффективная инвестиционная политика и операционная модель ее реализации. Внедрение дифференцированного подхода с учетом отраслевой специфики, а также четкое закрепление ответственности позволят значительно повысить эффективность реализации инвестиционной стратегии.</w:t>
      </w:r>
    </w:p>
    <w:bookmarkEnd w:id="700"/>
    <w:bookmarkStart w:name="z748" w:id="701"/>
    <w:p>
      <w:pPr>
        <w:spacing w:after="0"/>
        <w:ind w:left="0"/>
        <w:jc w:val="both"/>
      </w:pPr>
      <w:r>
        <w:rPr>
          <w:rFonts w:ascii="Times New Roman"/>
          <w:b w:val="false"/>
          <w:i w:val="false"/>
          <w:color w:val="000000"/>
          <w:sz w:val="28"/>
        </w:rPr>
        <w:t>
      Внедрение дифференцированного подхода с учетом специфики секторов. Значительное наращивание инвестиций в крупные и капиталоемкие отрасли экономики до 2029 года является одним из ключевых условий по ускоренному росту ВВП.</w:t>
      </w:r>
    </w:p>
    <w:bookmarkEnd w:id="701"/>
    <w:bookmarkStart w:name="z749" w:id="702"/>
    <w:p>
      <w:pPr>
        <w:spacing w:after="0"/>
        <w:ind w:left="0"/>
        <w:jc w:val="both"/>
      </w:pPr>
      <w:r>
        <w:rPr>
          <w:rFonts w:ascii="Times New Roman"/>
          <w:b w:val="false"/>
          <w:i w:val="false"/>
          <w:color w:val="000000"/>
          <w:sz w:val="28"/>
        </w:rPr>
        <w:t>
      При этом каждая из приоритетных отраслей обладает своим набором факторов, препятствующих входу инвесторов. Успешная реализация потенциала привлечения инвестиций наряду с такими инструментами, как налоговые преференции и СЭЗ, требует мобилизации отраслевых органов для реализации рычагов с отраслевой спецификой.</w:t>
      </w:r>
    </w:p>
    <w:bookmarkEnd w:id="702"/>
    <w:bookmarkStart w:name="z750" w:id="703"/>
    <w:p>
      <w:pPr>
        <w:spacing w:after="0"/>
        <w:ind w:left="0"/>
        <w:jc w:val="both"/>
      </w:pPr>
      <w:r>
        <w:rPr>
          <w:rFonts w:ascii="Times New Roman"/>
          <w:b w:val="false"/>
          <w:i w:val="false"/>
          <w:color w:val="000000"/>
          <w:sz w:val="28"/>
        </w:rPr>
        <w:t>
      Четкое закрепление функций и ответственности за реализацию инвестиционной политики. Четкое распределение ролей и закрепление ответственности различных организаций в рамках целевого процесса позволят повысить эффективность работы и кросс-функционального взаимодействия. В частности, целевой подход предполагает закрепление за отраслевыми органами функций по определению приоритетных проектов в рамках курируемых отраслей, предоставлению отраслевой аналитики и участию в переговорах с потенциальными инвесторами.</w:t>
      </w:r>
    </w:p>
    <w:bookmarkEnd w:id="703"/>
    <w:bookmarkStart w:name="z751" w:id="704"/>
    <w:p>
      <w:pPr>
        <w:spacing w:after="0"/>
        <w:ind w:left="0"/>
        <w:jc w:val="both"/>
      </w:pPr>
      <w:r>
        <w:rPr>
          <w:rFonts w:ascii="Times New Roman"/>
          <w:b w:val="false"/>
          <w:i w:val="false"/>
          <w:color w:val="000000"/>
          <w:sz w:val="28"/>
        </w:rPr>
        <w:t>
      Центральным элементом модели работы с инвесторами станет принцип "одного окна" для инвесторов по всему инвестиционному циклу с полноценным единоличным мандатом по координации сбора общего пула проектов, оформлению индивидуальных проектных кейсов, поиску и проведению переговоров с потенциальными инвесторами с участием отраслевых государственных органов.</w:t>
      </w:r>
    </w:p>
    <w:bookmarkEnd w:id="704"/>
    <w:bookmarkStart w:name="z752" w:id="705"/>
    <w:p>
      <w:pPr>
        <w:spacing w:after="0"/>
        <w:ind w:left="0"/>
        <w:jc w:val="both"/>
      </w:pPr>
      <w:r>
        <w:rPr>
          <w:rFonts w:ascii="Times New Roman"/>
          <w:b w:val="false"/>
          <w:i w:val="false"/>
          <w:color w:val="000000"/>
          <w:sz w:val="28"/>
        </w:rPr>
        <w:t>
      Развитие эффективных каналов обратной связи для инвесторов и усиление их защиты. Важный фактор сохранения конкурентоспособности инвестиционного рынка Казахстана - поддержание эффективных каналов обратной связи от инвесторов и усиление их защиты. Ключевыми задачами в этом направлении станут проведение опроса инвесторов с открытой публикацией в формате комплексного обзора инвестиционного климата страны (включая секторальный подход), а также укрепление института инвестиционного омбудсмена.</w:t>
      </w:r>
    </w:p>
    <w:bookmarkEnd w:id="705"/>
    <w:bookmarkStart w:name="z753" w:id="70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Улучшение системы инвестиционных преференций</w:t>
      </w:r>
    </w:p>
    <w:bookmarkEnd w:id="706"/>
    <w:bookmarkStart w:name="z754" w:id="707"/>
    <w:p>
      <w:pPr>
        <w:spacing w:after="0"/>
        <w:ind w:left="0"/>
        <w:jc w:val="both"/>
      </w:pPr>
      <w:r>
        <w:rPr>
          <w:rFonts w:ascii="Times New Roman"/>
          <w:b w:val="false"/>
          <w:i w:val="false"/>
          <w:color w:val="000000"/>
          <w:sz w:val="28"/>
        </w:rPr>
        <w:t>
      Глобальное сокращение инвестиций в экономику с одновременно растущим спросом на финансирование обусловили нарастание конкуренции в привлечении потенциальных инвесторов. Программы стимулирования набирают популярность, а государственная поддержка инвестиционных проектов становится одним из ключевых факторов в процессе принятия решений инвесторами. В этой связи создание привлекательных и предсказуемых, при этом не противоречащих интересам государства условий для инвесторов, в том числе в части налогов, тарифов и доступа к услугам, становится приоритетной задачей для Казахстана.</w:t>
      </w:r>
    </w:p>
    <w:bookmarkEnd w:id="707"/>
    <w:bookmarkStart w:name="z755" w:id="708"/>
    <w:p>
      <w:pPr>
        <w:spacing w:after="0"/>
        <w:ind w:left="0"/>
        <w:jc w:val="both"/>
      </w:pPr>
      <w:r>
        <w:rPr>
          <w:rFonts w:ascii="Times New Roman"/>
          <w:b w:val="false"/>
          <w:i w:val="false"/>
          <w:color w:val="000000"/>
          <w:sz w:val="28"/>
        </w:rPr>
        <w:t>
      Расширение мер по повышению привлекательности отечественного рынка для инвесторов через обеспечение стабильности условий ведения бизнеса. Дальнейшее развитие инвестиционных контрактов и соглашений подразумевает расширение условий налоговой стабильности и послаблений с учетом отраслевой специфики. Помимо налоговых условий необходимо предусмотреть предсказуемые условия по стоимости и объемам снабжения основных факторов производства (вода, электричество, топливо, земля, в зависимости от отрасли) в среднесрочной перспективе для ресурсоемких производств, а также расширить применение гарантий объемов закупа и офтейк-контрактов для отдельных отраслей, в том числе для энергетики.</w:t>
      </w:r>
    </w:p>
    <w:bookmarkEnd w:id="708"/>
    <w:bookmarkStart w:name="z756" w:id="709"/>
    <w:p>
      <w:pPr>
        <w:spacing w:after="0"/>
        <w:ind w:left="0"/>
        <w:jc w:val="both"/>
      </w:pPr>
      <w:r>
        <w:rPr>
          <w:rFonts w:ascii="Times New Roman"/>
          <w:b w:val="false"/>
          <w:i w:val="false"/>
          <w:color w:val="000000"/>
          <w:sz w:val="28"/>
        </w:rPr>
        <w:t>
      Повышение эффективности специальных экономических и индустриальных зон через предоставление услуг с добавленной стоимостью и улучшение качества их управления. Задачи по данному направлению включают расширение перечня услуг на СЭЗ/ИЗ, в том числе обеспечение доступа к широкому списку коммуникаций, предоставление транспортно-логистических услуг (в том числе складов), помощь в подборе и развитии персонала, поиске местных партнеров, работе с документами и разрешениями.</w:t>
      </w:r>
    </w:p>
    <w:bookmarkEnd w:id="709"/>
    <w:bookmarkStart w:name="z757" w:id="710"/>
    <w:p>
      <w:pPr>
        <w:spacing w:after="0"/>
        <w:ind w:left="0"/>
        <w:jc w:val="both"/>
      </w:pPr>
      <w:r>
        <w:rPr>
          <w:rFonts w:ascii="Times New Roman"/>
          <w:b w:val="false"/>
          <w:i w:val="false"/>
          <w:color w:val="000000"/>
          <w:sz w:val="28"/>
        </w:rPr>
        <w:t>
      Сокращение сроков заключения инвестиционных соглашений и получения разрешительной и иной документации. На сегодняшний день инвестор при положительном решении сталкивается с рядом проблем в процессе проработки и реализации проекта. В этой связи в целях оптимизации процедур необходим мониторинг длительности каждого этапа по всему перечню потенциальных инвестиционных контрактов.</w:t>
      </w:r>
    </w:p>
    <w:bookmarkEnd w:id="710"/>
    <w:bookmarkStart w:name="z758" w:id="711"/>
    <w:p>
      <w:pPr>
        <w:spacing w:after="0"/>
        <w:ind w:left="0"/>
        <w:jc w:val="both"/>
      </w:pPr>
      <w:r>
        <w:rPr>
          <w:rFonts w:ascii="Times New Roman"/>
          <w:b w:val="false"/>
          <w:i w:val="false"/>
          <w:color w:val="000000"/>
          <w:sz w:val="28"/>
        </w:rPr>
        <w:t>
      Наибольший приоритет для проработки имеют предоставление технических условий, подведение инфраструктуры и доступ к сырью, а также фактическое получение мер государственной поддержки и финансирования от институтов развития.</w:t>
      </w:r>
    </w:p>
    <w:bookmarkEnd w:id="711"/>
    <w:bookmarkStart w:name="z759" w:id="712"/>
    <w:p>
      <w:pPr>
        <w:spacing w:after="0"/>
        <w:ind w:left="0"/>
        <w:jc w:val="both"/>
      </w:pPr>
      <w:r>
        <w:rPr>
          <w:rFonts w:ascii="Times New Roman"/>
          <w:b w:val="false"/>
          <w:i w:val="false"/>
          <w:color w:val="000000"/>
          <w:sz w:val="28"/>
        </w:rPr>
        <w:t>
      Отдельным приоритетом станет кардинальное упрощение порядка утверждения проектно-сметной документации для инвесторов, в том числе за счет признания международных проектов, реализованных в соответствии с передовыми общемировыми стандартами без необходимости отдельной разработки проектно-сметной документации.</w:t>
      </w:r>
    </w:p>
    <w:bookmarkEnd w:id="712"/>
    <w:bookmarkStart w:name="z760" w:id="7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w:t>
      </w:r>
    </w:p>
    <w:bookmarkEnd w:id="713"/>
    <w:bookmarkStart w:name="z761" w:id="714"/>
    <w:p>
      <w:pPr>
        <w:spacing w:after="0"/>
        <w:ind w:left="0"/>
        <w:jc w:val="both"/>
      </w:pPr>
      <w:r>
        <w:rPr>
          <w:rFonts w:ascii="Times New Roman"/>
          <w:b w:val="false"/>
          <w:i w:val="false"/>
          <w:color w:val="000000"/>
          <w:sz w:val="28"/>
        </w:rPr>
        <w:t>
      Основными задачами являются обеспечение качественного роста кредитования за счет создания соответствующих макроэкономических условий, устранения рыночных искажений путем смещения акцента с прямого финансирования от государственных институтов развития на финансирование через частные финансовые институты, развитие рынка долгосрочного фондирования банков, а также развитие альтернативных источников финансирования. Дальнейший рост кредитования должен быть качественным и способствовать сохранению стабильности финансового сектора и обеспечению устойчивого роста экономики.</w:t>
      </w:r>
    </w:p>
    <w:bookmarkEnd w:id="714"/>
    <w:bookmarkStart w:name="z762" w:id="715"/>
    <w:p>
      <w:pPr>
        <w:spacing w:after="0"/>
        <w:ind w:left="0"/>
        <w:jc w:val="both"/>
      </w:pPr>
      <w:r>
        <w:rPr>
          <w:rFonts w:ascii="Times New Roman"/>
          <w:b w:val="false"/>
          <w:i w:val="false"/>
          <w:color w:val="000000"/>
          <w:sz w:val="28"/>
        </w:rPr>
        <w:t>
      Обеспечение макрофинансовой стабильности. Для повышения доступности долгосрочных кредитов бизнесу будут созданы соответствующие макроэкономические условия по обеспечению инфляции вблизи установленного таргета 5% в среднесрочной перспективе. Это достигается за счет независимой, последовательной и прозрачной денежно-кредитной политики в режиме инфляционного таргетирования, а также эффективной координации монетарной и фискальной политик.</w:t>
      </w:r>
    </w:p>
    <w:bookmarkEnd w:id="715"/>
    <w:bookmarkStart w:name="z763" w:id="716"/>
    <w:p>
      <w:pPr>
        <w:spacing w:after="0"/>
        <w:ind w:left="0"/>
        <w:jc w:val="both"/>
      </w:pPr>
      <w:r>
        <w:rPr>
          <w:rFonts w:ascii="Times New Roman"/>
          <w:b w:val="false"/>
          <w:i w:val="false"/>
          <w:color w:val="000000"/>
          <w:sz w:val="28"/>
        </w:rPr>
        <w:t>
      Регуляторная политика будет направлена на повышение устойчивости финансового сектора путем дальнейшего развития риск-ориентированного надзора, внедрения международных стандартов консолидированного надзора, урегулирования неплатежеспособных банков и государственного участия, развития цифровых платформ по продаже стрессовых активов на рыночных условиях, снижения рисков потребительского кредитования и ограничения роста долговой нагрузки населения.</w:t>
      </w:r>
    </w:p>
    <w:bookmarkEnd w:id="716"/>
    <w:bookmarkStart w:name="z764" w:id="717"/>
    <w:p>
      <w:pPr>
        <w:spacing w:after="0"/>
        <w:ind w:left="0"/>
        <w:jc w:val="both"/>
      </w:pPr>
      <w:r>
        <w:rPr>
          <w:rFonts w:ascii="Times New Roman"/>
          <w:b w:val="false"/>
          <w:i w:val="false"/>
          <w:color w:val="000000"/>
          <w:sz w:val="28"/>
        </w:rPr>
        <w:t>
      Повышение устойчивости корпоративного сектора. Следующим ключевым условием является повышение устойчивости корпоративного сектора.</w:t>
      </w:r>
    </w:p>
    <w:bookmarkEnd w:id="717"/>
    <w:bookmarkStart w:name="z765" w:id="718"/>
    <w:p>
      <w:pPr>
        <w:spacing w:after="0"/>
        <w:ind w:left="0"/>
        <w:jc w:val="both"/>
      </w:pPr>
      <w:r>
        <w:rPr>
          <w:rFonts w:ascii="Times New Roman"/>
          <w:b w:val="false"/>
          <w:i w:val="false"/>
          <w:color w:val="000000"/>
          <w:sz w:val="28"/>
        </w:rPr>
        <w:t>
      Для этого необходимо улучшать систему корпоративного управления компаний, качество отчетности и систему аудита, повысить эффективность корпоративного банкротства для своевременного вывода несостоятельных участников, а также обеспечить приоритет залоговых кредиторов в соответствии с международными стандартами.</w:t>
      </w:r>
    </w:p>
    <w:bookmarkEnd w:id="718"/>
    <w:bookmarkStart w:name="z766" w:id="719"/>
    <w:p>
      <w:pPr>
        <w:spacing w:after="0"/>
        <w:ind w:left="0"/>
        <w:jc w:val="both"/>
      </w:pPr>
      <w:r>
        <w:rPr>
          <w:rFonts w:ascii="Times New Roman"/>
          <w:b w:val="false"/>
          <w:i w:val="false"/>
          <w:color w:val="000000"/>
          <w:sz w:val="28"/>
        </w:rPr>
        <w:t>
      В целом решением вопроса стимулирования кредитования является развитие здоровой бизнес-среды, которая предполагает не только создание и поддержание благоприятных условий для эффективного ведения бизнеса, но и жесткую рыночную дисциплину в отношении нездоровых и несостоятельных компаний.</w:t>
      </w:r>
    </w:p>
    <w:bookmarkEnd w:id="719"/>
    <w:bookmarkStart w:name="z767" w:id="720"/>
    <w:p>
      <w:pPr>
        <w:spacing w:after="0"/>
        <w:ind w:left="0"/>
        <w:jc w:val="both"/>
      </w:pPr>
      <w:r>
        <w:rPr>
          <w:rFonts w:ascii="Times New Roman"/>
          <w:b w:val="false"/>
          <w:i w:val="false"/>
          <w:color w:val="000000"/>
          <w:sz w:val="28"/>
        </w:rPr>
        <w:t>
      Смещение акцента с прямого финансирования от государственных институтов развития на финансирование через частные финансовые институты. Усиление роли государства в прямом финансировании экономики по льготным ставкам, с которыми участники финансового рынка не могут конкурировать, ограничивает рост кредитования частными финансовыми институтами на рыночных условиях. Это существенно влияет на развитие финансового сектора, в том числе ограничивает возможности расширения финансирования экономики через банковское кредитование и рынок капитала на рыночных условиях.</w:t>
      </w:r>
    </w:p>
    <w:bookmarkEnd w:id="720"/>
    <w:bookmarkStart w:name="z768" w:id="721"/>
    <w:p>
      <w:pPr>
        <w:spacing w:after="0"/>
        <w:ind w:left="0"/>
        <w:jc w:val="both"/>
      </w:pPr>
      <w:r>
        <w:rPr>
          <w:rFonts w:ascii="Times New Roman"/>
          <w:b w:val="false"/>
          <w:i w:val="false"/>
          <w:color w:val="000000"/>
          <w:sz w:val="28"/>
        </w:rPr>
        <w:t>
      Для устранения рыночных искажений необходимо обеспечить смещение акцента с прямого финансирования от государственных институтов развития на финансирование через частные финансовые институты (банки, микрофинансовые организации, лизинговые компании). При этом государственные институты развития должны сфокусироваться на развитии нефинансовых форм поддержки субъектов бизнеса.</w:t>
      </w:r>
    </w:p>
    <w:bookmarkEnd w:id="721"/>
    <w:bookmarkStart w:name="z769" w:id="722"/>
    <w:p>
      <w:pPr>
        <w:spacing w:after="0"/>
        <w:ind w:left="0"/>
        <w:jc w:val="both"/>
      </w:pPr>
      <w:r>
        <w:rPr>
          <w:rFonts w:ascii="Times New Roman"/>
          <w:b w:val="false"/>
          <w:i w:val="false"/>
          <w:color w:val="000000"/>
          <w:sz w:val="28"/>
        </w:rPr>
        <w:t>
      Пруденциальное и фискальное стимулирование корпоративного кредитования. Пруденциальное регулирование будет направлено на дальнейшее поддержание баланса между обеспечением финансовой стабильности и ростом кредитования реального сектора экономики. Кредитование бизнеса будет иметь более выгодное фискальное регулирование в сравнении с другими видами банковской деятельности. Введение налогообложения доходов банков по нотам Национального Банка Республики Казахстан позволит снизить интерес банков инвестировать в безрисковые инструменты и будет способствовать использованию данной ликвидности на кредитование экономики.</w:t>
      </w:r>
    </w:p>
    <w:bookmarkEnd w:id="722"/>
    <w:bookmarkStart w:name="z770" w:id="723"/>
    <w:p>
      <w:pPr>
        <w:spacing w:after="0"/>
        <w:ind w:left="0"/>
        <w:jc w:val="both"/>
      </w:pPr>
      <w:r>
        <w:rPr>
          <w:rFonts w:ascii="Times New Roman"/>
          <w:b w:val="false"/>
          <w:i w:val="false"/>
          <w:color w:val="000000"/>
          <w:sz w:val="28"/>
        </w:rPr>
        <w:t>
      Развитие механизмов синдицированного кредитования, а также софинансирования крупных проектов банков совместно с государственными институтами развития. В условиях ограниченности средств частного сектора на кредитование крупных проектов, в том числе инфраструктурных, необходимо активное применение механизма синдицированного кредитования и совместного финансирования при участии государственных институтов развития и банков второго уровня. Микширование государственного и частного финансирования позволит снизить нагрузку на бюджет и расширить охват финансированием за счет привлечения средств банков, а также распределить риски между государством и банками.</w:t>
      </w:r>
    </w:p>
    <w:bookmarkEnd w:id="723"/>
    <w:bookmarkStart w:name="z771" w:id="724"/>
    <w:p>
      <w:pPr>
        <w:spacing w:after="0"/>
        <w:ind w:left="0"/>
        <w:jc w:val="both"/>
      </w:pPr>
      <w:r>
        <w:rPr>
          <w:rFonts w:ascii="Times New Roman"/>
          <w:b w:val="false"/>
          <w:i w:val="false"/>
          <w:color w:val="000000"/>
          <w:sz w:val="28"/>
        </w:rPr>
        <w:t>
      Дальнейшее развитие государственных сервисов по данным юридических лиц для возможности проведения скоринга с учетом детального анализа юридических лиц. Необходимо продолжить проведение интеграционных работ между кредитными бюро и государственными информационными системами для оценки расширенных финансовых показателей юридических лиц, а также выявления связей между компаниями и проведения всестороннего анализа юридических лиц.</w:t>
      </w:r>
    </w:p>
    <w:bookmarkEnd w:id="724"/>
    <w:bookmarkStart w:name="z772" w:id="725"/>
    <w:p>
      <w:pPr>
        <w:spacing w:after="0"/>
        <w:ind w:left="0"/>
        <w:jc w:val="both"/>
      </w:pPr>
      <w:r>
        <w:rPr>
          <w:rFonts w:ascii="Times New Roman"/>
          <w:b w:val="false"/>
          <w:i w:val="false"/>
          <w:color w:val="000000"/>
          <w:sz w:val="28"/>
        </w:rPr>
        <w:t>
      Развитие альтернативных источников финансирования. Тренды развития глобального финансового сектора создают возможности расширения форматов поддержки экономики. Перспективные направления для Казахстана в среднесрочной перспективе включают зеленое финансирование, исламское финансирование, небанковское кредитование (микрофинансовые организации и лизинговые компании), инструменты альтернативного финансирования, механизмы вовлечения неработающих активов в экономику. Также меры Национального Банка Республики Казахстан будут направлены на расширение кредитования реального сектора экономики за счет инвестирования пенсионных активов Единого накопительного пенсионного фонда.</w:t>
      </w:r>
    </w:p>
    <w:bookmarkEnd w:id="725"/>
    <w:p>
      <w:pPr>
        <w:spacing w:after="0"/>
        <w:ind w:left="0"/>
        <w:jc w:val="both"/>
      </w:pPr>
      <w:r>
        <w:rPr>
          <w:rFonts w:ascii="Times New Roman"/>
          <w:b/>
          <w:i w:val="false"/>
          <w:color w:val="000000"/>
          <w:sz w:val="28"/>
        </w:rPr>
        <w:t>4.3. ПОВЫШЕНИЕ ЭКОЛОГИЧЕСКОЙ УСТОЙЧИВОСТИ</w:t>
      </w:r>
    </w:p>
    <w:bookmarkStart w:name="z774" w:id="726"/>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26"/>
    <w:bookmarkStart w:name="z775" w:id="727"/>
    <w:p>
      <w:pPr>
        <w:spacing w:after="0"/>
        <w:ind w:left="0"/>
        <w:jc w:val="both"/>
      </w:pPr>
      <w:r>
        <w:rPr>
          <w:rFonts w:ascii="Times New Roman"/>
          <w:b w:val="false"/>
          <w:i w:val="false"/>
          <w:color w:val="000000"/>
          <w:sz w:val="28"/>
        </w:rPr>
        <w:t>
      Изменение климата и высокий уровень загрязненности воздуха</w:t>
      </w:r>
    </w:p>
    <w:bookmarkEnd w:id="727"/>
    <w:bookmarkStart w:name="z776" w:id="728"/>
    <w:p>
      <w:pPr>
        <w:spacing w:after="0"/>
        <w:ind w:left="0"/>
        <w:jc w:val="both"/>
      </w:pPr>
      <w:r>
        <w:rPr>
          <w:rFonts w:ascii="Times New Roman"/>
          <w:b w:val="false"/>
          <w:i w:val="false"/>
          <w:color w:val="000000"/>
          <w:sz w:val="28"/>
        </w:rPr>
        <w:t>
      В последнее время в стране наблюдаются изменения климатических условий, выражающиеся в росте среднегодовой температуры и уменьшении количества осадков, что, в свою очередь, ставит перед страной новые экологические вызовы. Несмотря на снижающуюся динамику, Казахстан входит в топ-20 стран по объему выбросов парниковых газов.</w:t>
      </w:r>
    </w:p>
    <w:bookmarkEnd w:id="728"/>
    <w:bookmarkStart w:name="z777" w:id="729"/>
    <w:p>
      <w:pPr>
        <w:spacing w:after="0"/>
        <w:ind w:left="0"/>
        <w:jc w:val="both"/>
      </w:pPr>
      <w:r>
        <w:rPr>
          <w:rFonts w:ascii="Times New Roman"/>
          <w:b w:val="false"/>
          <w:i w:val="false"/>
          <w:color w:val="000000"/>
          <w:sz w:val="28"/>
        </w:rPr>
        <w:t>
      Согласно данным IQAir, Казахстан занимает 40-е место в рейтинге самых "загрязненных" стран по уровню вредных веществ. Ежегодно загрязнение воздуха становится причиной свыше 10 тысяч преждевременных смертей и, согласно исследованиям Всемирного банка, обходится экономике страны более чем в 10,5 млрд долл. США. Основными факторами загрязненности воздуха являются высокая зависимость от угольной энергии, устаревшие фонды электроэнергетического, жилого сектора, рост числа автотранспортных средств.</w:t>
      </w:r>
    </w:p>
    <w:bookmarkEnd w:id="729"/>
    <w:bookmarkStart w:name="z778" w:id="730"/>
    <w:p>
      <w:pPr>
        <w:spacing w:after="0"/>
        <w:ind w:left="0"/>
        <w:jc w:val="both"/>
      </w:pPr>
      <w:r>
        <w:rPr>
          <w:rFonts w:ascii="Times New Roman"/>
          <w:b w:val="false"/>
          <w:i w:val="false"/>
          <w:color w:val="000000"/>
          <w:sz w:val="28"/>
        </w:rPr>
        <w:t>
      Необходимо отметить, что Казахстан стал первой страной в СНГ, где в 2018 году была внедрена система торговли выбросами парниковых газов, покрывающая 48% общих эмиссий. Анализ фактических выбросов предприятий за 2018 - 2020 годы показал, что большинство предприятий имело профицит бесплатных квот, что может в недостаточной степени стимулировать предприятия снижать углеродный след.</w:t>
      </w:r>
    </w:p>
    <w:bookmarkEnd w:id="730"/>
    <w:bookmarkStart w:name="z779" w:id="731"/>
    <w:p>
      <w:pPr>
        <w:spacing w:after="0"/>
        <w:ind w:left="0"/>
        <w:jc w:val="both"/>
      </w:pPr>
      <w:r>
        <w:rPr>
          <w:rFonts w:ascii="Times New Roman"/>
          <w:b w:val="false"/>
          <w:i w:val="false"/>
          <w:color w:val="000000"/>
          <w:sz w:val="28"/>
        </w:rPr>
        <w:t>
      Угроза растущего дефицита воды</w:t>
      </w:r>
    </w:p>
    <w:bookmarkEnd w:id="731"/>
    <w:bookmarkStart w:name="z780" w:id="732"/>
    <w:p>
      <w:pPr>
        <w:spacing w:after="0"/>
        <w:ind w:left="0"/>
        <w:jc w:val="both"/>
      </w:pPr>
      <w:r>
        <w:rPr>
          <w:rFonts w:ascii="Times New Roman"/>
          <w:b w:val="false"/>
          <w:i w:val="false"/>
          <w:color w:val="000000"/>
          <w:sz w:val="28"/>
        </w:rPr>
        <w:t>
      Казахстан входит в топ-15 стран по объему подушевого потребления воды, основной объем забора приходится на орошение в сельском хозяйстве, при этом удельный расход воды на орошение является достаточно высоким, превышающим уровень климатически сопоставимых стран в 2 - 3 раза.</w:t>
      </w:r>
    </w:p>
    <w:bookmarkEnd w:id="732"/>
    <w:bookmarkStart w:name="z781" w:id="733"/>
    <w:p>
      <w:pPr>
        <w:spacing w:after="0"/>
        <w:ind w:left="0"/>
        <w:jc w:val="both"/>
      </w:pPr>
      <w:r>
        <w:rPr>
          <w:rFonts w:ascii="Times New Roman"/>
          <w:b w:val="false"/>
          <w:i w:val="false"/>
          <w:color w:val="000000"/>
          <w:sz w:val="28"/>
        </w:rPr>
        <w:t>
      Практически повсеместно неэффективное использование воды обусловлено низким уровнем тарифов на воду, не стимулирующим внедрение водосберегающих практик и технологий. Изношенность водохозяйственной системы и недостаточный учет воды приводят к высоким потерям воды (до 40%) во время транспортировки.</w:t>
      </w:r>
    </w:p>
    <w:bookmarkEnd w:id="733"/>
    <w:bookmarkStart w:name="z782" w:id="734"/>
    <w:p>
      <w:pPr>
        <w:spacing w:after="0"/>
        <w:ind w:left="0"/>
        <w:jc w:val="both"/>
      </w:pPr>
      <w:r>
        <w:rPr>
          <w:rFonts w:ascii="Times New Roman"/>
          <w:b w:val="false"/>
          <w:i w:val="false"/>
          <w:color w:val="000000"/>
          <w:sz w:val="28"/>
        </w:rPr>
        <w:t>
      Основной объем водных ресурсов Казахстана обеспечивают поверхностные воды - речные стоки, озера и ледники. При этом уровень водообеспеченности страны снижается и значительно уступает показателям других стран. Поскольку половина речного стока Казахстана формируется за пределами страны, снижение объемов воды важных трансграничных рек обуславливает особенную важность водной дипломатии и трансграничного сотрудничества в управлении водными ресурсами.</w:t>
      </w:r>
    </w:p>
    <w:bookmarkEnd w:id="734"/>
    <w:bookmarkStart w:name="z783" w:id="735"/>
    <w:p>
      <w:pPr>
        <w:spacing w:after="0"/>
        <w:ind w:left="0"/>
        <w:jc w:val="both"/>
      </w:pPr>
      <w:r>
        <w:rPr>
          <w:rFonts w:ascii="Times New Roman"/>
          <w:b w:val="false"/>
          <w:i w:val="false"/>
          <w:color w:val="000000"/>
          <w:sz w:val="28"/>
        </w:rPr>
        <w:t>
      Ухудшающееся качество питьевой воды</w:t>
      </w:r>
    </w:p>
    <w:bookmarkEnd w:id="735"/>
    <w:bookmarkStart w:name="z784" w:id="736"/>
    <w:p>
      <w:pPr>
        <w:spacing w:after="0"/>
        <w:ind w:left="0"/>
        <w:jc w:val="both"/>
      </w:pPr>
      <w:r>
        <w:rPr>
          <w:rFonts w:ascii="Times New Roman"/>
          <w:b w:val="false"/>
          <w:i w:val="false"/>
          <w:color w:val="000000"/>
          <w:sz w:val="28"/>
        </w:rPr>
        <w:t>
      Наблюдается ухудшение качества питьевой воды, влияющее на здоровье населения: смертность от отсутствия безопасной воды, санитарии и гигиены за последнее десятилетие увеличилась на 65%. Результаты оценки качества поверхностных вод в Казахстане показывают, что 28 водных объектов из 106 исследованных не пригодны для использования, вода в 8 объектах наихудшего качества.</w:t>
      </w:r>
    </w:p>
    <w:bookmarkEnd w:id="736"/>
    <w:bookmarkStart w:name="z785" w:id="737"/>
    <w:p>
      <w:pPr>
        <w:spacing w:after="0"/>
        <w:ind w:left="0"/>
        <w:jc w:val="both"/>
      </w:pPr>
      <w:r>
        <w:rPr>
          <w:rFonts w:ascii="Times New Roman"/>
          <w:b w:val="false"/>
          <w:i w:val="false"/>
          <w:color w:val="000000"/>
          <w:sz w:val="28"/>
        </w:rPr>
        <w:t>
      Рост отходов и низкий уровень переработки</w:t>
      </w:r>
    </w:p>
    <w:bookmarkEnd w:id="737"/>
    <w:bookmarkStart w:name="z786" w:id="738"/>
    <w:p>
      <w:pPr>
        <w:spacing w:after="0"/>
        <w:ind w:left="0"/>
        <w:jc w:val="both"/>
      </w:pPr>
      <w:r>
        <w:rPr>
          <w:rFonts w:ascii="Times New Roman"/>
          <w:b w:val="false"/>
          <w:i w:val="false"/>
          <w:color w:val="000000"/>
          <w:sz w:val="28"/>
        </w:rPr>
        <w:t>
      В 2022 году в Казахстане образовано 4,3 млн тонн отходов, 65% которых приходится на отходы домашних хозяйств. Несмотря на невысокий подушевой объем отходов в сравнении с другими странами (Китай, США, Россия, Европа, Япония, Канада), интенсивность образования отходов на уровне порядка 20 кг на долл. США ВВП является высокой в сравнении с рассмотренными странами, у которых данный показатель колеблется на уровне 10 -17 кг на долл. США ВВП.</w:t>
      </w:r>
    </w:p>
    <w:bookmarkEnd w:id="738"/>
    <w:bookmarkStart w:name="z787" w:id="739"/>
    <w:p>
      <w:pPr>
        <w:spacing w:after="0"/>
        <w:ind w:left="0"/>
        <w:jc w:val="both"/>
      </w:pPr>
      <w:r>
        <w:rPr>
          <w:rFonts w:ascii="Times New Roman"/>
          <w:b w:val="false"/>
          <w:i w:val="false"/>
          <w:color w:val="000000"/>
          <w:sz w:val="28"/>
        </w:rPr>
        <w:t>
      Уровень переработки твердых бытовых отходов (далее - ТБО) в сравнении с другими странами остается относительно низким. Основным ограничивающим фактором является слабое внедрение системы раздельного сбора и сортировки в регионах. Из 204 населенных пунктов раздельный сбор на разных этапах внедрен в 134, сортировка - в 96, проектная мощность сортировочных сооружений составляет 50% от объемов отходов.</w:t>
      </w:r>
    </w:p>
    <w:bookmarkEnd w:id="739"/>
    <w:bookmarkStart w:name="z788" w:id="740"/>
    <w:p>
      <w:pPr>
        <w:spacing w:after="0"/>
        <w:ind w:left="0"/>
        <w:jc w:val="both"/>
      </w:pPr>
      <w:r>
        <w:rPr>
          <w:rFonts w:ascii="Times New Roman"/>
          <w:b w:val="false"/>
          <w:i w:val="false"/>
          <w:color w:val="000000"/>
          <w:sz w:val="28"/>
        </w:rPr>
        <w:t>
      Кроме того, существует проблема дефицита полигонов для захоронения отходов, соответствующих санитарным нормам (свыше 82% полигонов ТБО не соответствуют экологическим требованиям), что приводит к дополнительному риску для экологии и здоровья населения.</w:t>
      </w:r>
    </w:p>
    <w:bookmarkEnd w:id="740"/>
    <w:bookmarkStart w:name="z789" w:id="741"/>
    <w:p>
      <w:pPr>
        <w:spacing w:after="0"/>
        <w:ind w:left="0"/>
        <w:jc w:val="both"/>
      </w:pPr>
      <w:r>
        <w:rPr>
          <w:rFonts w:ascii="Times New Roman"/>
          <w:b w:val="false"/>
          <w:i w:val="false"/>
          <w:color w:val="000000"/>
          <w:sz w:val="28"/>
        </w:rPr>
        <w:t>
      Проблемы сохранения биоразнообразия</w:t>
      </w:r>
    </w:p>
    <w:bookmarkEnd w:id="741"/>
    <w:bookmarkStart w:name="z790" w:id="742"/>
    <w:p>
      <w:pPr>
        <w:spacing w:after="0"/>
        <w:ind w:left="0"/>
        <w:jc w:val="both"/>
      </w:pPr>
      <w:r>
        <w:rPr>
          <w:rFonts w:ascii="Times New Roman"/>
          <w:b w:val="false"/>
          <w:i w:val="false"/>
          <w:color w:val="000000"/>
          <w:sz w:val="28"/>
        </w:rPr>
        <w:t>
      Казахстан обладает огромным разнообразием природных ландшафтов и биологических видов, вопрос сохранения биоразнообразия имеет важное значение для поддержания экологического баланса и устойчивого развития. Лес занимает 5% территории страны. В последние годы наблюдается тенденция к увеличению лесных массивов благодаря мерам по их защите и восстановлению, тем не менее в области сохранения биоразнообразия сохраняются проблемы незаконной вырубки деревьев и роста числа лесных пожаров.</w:t>
      </w:r>
    </w:p>
    <w:bookmarkEnd w:id="742"/>
    <w:bookmarkStart w:name="z791" w:id="743"/>
    <w:p>
      <w:pPr>
        <w:spacing w:after="0"/>
        <w:ind w:left="0"/>
        <w:jc w:val="both"/>
      </w:pPr>
      <w:r>
        <w:rPr>
          <w:rFonts w:ascii="Times New Roman"/>
          <w:b w:val="false"/>
          <w:i w:val="false"/>
          <w:color w:val="000000"/>
          <w:sz w:val="28"/>
        </w:rPr>
        <w:t>
      Благодаря принятым мерам по сохранению редких и находящихся под угрозой исчезновения видов животных удалось увеличить численность отдельных видов диких животных (например, сайгаков). Однако сохраняются риски исчезновения некоторых видов животных и растений вследствие деятельности человека - браконьерства, разрушения среды обитания в результате урбанизации, загрязнения окружающей среды.</w:t>
      </w:r>
    </w:p>
    <w:bookmarkEnd w:id="743"/>
    <w:bookmarkStart w:name="z792" w:id="744"/>
    <w:p>
      <w:pPr>
        <w:spacing w:after="0"/>
        <w:ind w:left="0"/>
        <w:jc w:val="both"/>
      </w:pPr>
      <w:r>
        <w:rPr>
          <w:rFonts w:ascii="Times New Roman"/>
          <w:b w:val="false"/>
          <w:i w:val="false"/>
          <w:color w:val="000000"/>
          <w:sz w:val="28"/>
        </w:rPr>
        <w:t>
      Сокращение выбросов парниковых газов</w:t>
      </w:r>
    </w:p>
    <w:bookmarkEnd w:id="744"/>
    <w:bookmarkStart w:name="z793" w:id="745"/>
    <w:p>
      <w:pPr>
        <w:spacing w:after="0"/>
        <w:ind w:left="0"/>
        <w:jc w:val="both"/>
      </w:pPr>
      <w:r>
        <w:rPr>
          <w:rFonts w:ascii="Times New Roman"/>
          <w:b w:val="false"/>
          <w:i w:val="false"/>
          <w:color w:val="000000"/>
          <w:sz w:val="28"/>
        </w:rPr>
        <w:t>
      Одним из инструментов сокращения выбросов парниковых газов является система торговли выбросами, предусматривающая рыночные механизмы регулирования выбросов парниковых газов.</w:t>
      </w:r>
    </w:p>
    <w:bookmarkEnd w:id="745"/>
    <w:bookmarkStart w:name="z794" w:id="746"/>
    <w:p>
      <w:pPr>
        <w:spacing w:after="0"/>
        <w:ind w:left="0"/>
        <w:jc w:val="both"/>
      </w:pPr>
      <w:r>
        <w:rPr>
          <w:rFonts w:ascii="Times New Roman"/>
          <w:b w:val="false"/>
          <w:i w:val="false"/>
          <w:color w:val="000000"/>
          <w:sz w:val="28"/>
        </w:rPr>
        <w:t>
      Основной целью рыночного механизма регулирования выбросов парниковых газов является стимулирование предприятий к применению "зеленых" технологий и повышению собственной эффективности.</w:t>
      </w:r>
    </w:p>
    <w:bookmarkEnd w:id="746"/>
    <w:bookmarkStart w:name="z795" w:id="747"/>
    <w:p>
      <w:pPr>
        <w:spacing w:after="0"/>
        <w:ind w:left="0"/>
        <w:jc w:val="both"/>
      </w:pPr>
      <w:r>
        <w:rPr>
          <w:rFonts w:ascii="Times New Roman"/>
          <w:b w:val="false"/>
          <w:i w:val="false"/>
          <w:color w:val="000000"/>
          <w:sz w:val="28"/>
        </w:rPr>
        <w:t>
      Данная система позволяет предприятиям, инвестирующим и модернизирующим собственное производство, сокращая выбросы парниковых газов, продавать излишки квот предприятиям, которые не вкладывают средства в модернизацию производств и у которых появляется дефицит квот.</w:t>
      </w:r>
    </w:p>
    <w:bookmarkEnd w:id="747"/>
    <w:bookmarkStart w:name="z796" w:id="748"/>
    <w:p>
      <w:pPr>
        <w:spacing w:after="0"/>
        <w:ind w:left="0"/>
        <w:jc w:val="both"/>
      </w:pPr>
      <w:r>
        <w:rPr>
          <w:rFonts w:ascii="Times New Roman"/>
          <w:b w:val="false"/>
          <w:i w:val="false"/>
          <w:color w:val="000000"/>
          <w:sz w:val="28"/>
        </w:rPr>
        <w:t>
      В рамках системы торговли выбросами функционирует углеродный офсетный механизм. Под углеродный офсетный проект подпадают любые проекты, направленные на сокращение выбросов парниковых газов и увеличение поглощения парниковых газов.</w:t>
      </w:r>
    </w:p>
    <w:bookmarkEnd w:id="748"/>
    <w:bookmarkStart w:name="z797" w:id="749"/>
    <w:p>
      <w:pPr>
        <w:spacing w:after="0"/>
        <w:ind w:left="0"/>
        <w:jc w:val="both"/>
      </w:pPr>
      <w:r>
        <w:rPr>
          <w:rFonts w:ascii="Times New Roman"/>
          <w:b w:val="false"/>
          <w:i w:val="false"/>
          <w:color w:val="000000"/>
          <w:sz w:val="28"/>
        </w:rPr>
        <w:t>
      Приоритеты развития отрасли до 2029 года</w:t>
      </w:r>
    </w:p>
    <w:bookmarkEnd w:id="749"/>
    <w:bookmarkStart w:name="z798" w:id="750"/>
    <w:p>
      <w:pPr>
        <w:spacing w:after="0"/>
        <w:ind w:left="0"/>
        <w:jc w:val="both"/>
      </w:pPr>
      <w:r>
        <w:rPr>
          <w:rFonts w:ascii="Times New Roman"/>
          <w:b w:val="false"/>
          <w:i w:val="false"/>
          <w:color w:val="000000"/>
          <w:sz w:val="28"/>
        </w:rPr>
        <w:t>
      Целью государственной политики в сфере экологии является повышение экологической устойчивости. Развитие отрасли будет направлено на достижение углеродной нейтральности, повышение качества воздуха, водных ресурсов, рациональное использование и сохранение водных ресурсов, биоразнообразия и повышение уровня переработки отходов.</w:t>
      </w:r>
    </w:p>
    <w:bookmarkEnd w:id="750"/>
    <w:bookmarkStart w:name="z799" w:id="75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качества воздуха</w:t>
      </w:r>
    </w:p>
    <w:bookmarkEnd w:id="751"/>
    <w:bookmarkStart w:name="z800" w:id="752"/>
    <w:p>
      <w:pPr>
        <w:spacing w:after="0"/>
        <w:ind w:left="0"/>
        <w:jc w:val="both"/>
      </w:pPr>
      <w:r>
        <w:rPr>
          <w:rFonts w:ascii="Times New Roman"/>
          <w:b w:val="false"/>
          <w:i w:val="false"/>
          <w:color w:val="000000"/>
          <w:sz w:val="28"/>
        </w:rPr>
        <w:t>
      В рамках данного приоритета запланированы достижение промежуточных целей углеродной нейтральности и значимое сокращение выбросов загрязняющих веществ в атмосферу.</w:t>
      </w:r>
    </w:p>
    <w:bookmarkEnd w:id="752"/>
    <w:bookmarkStart w:name="z801" w:id="753"/>
    <w:p>
      <w:pPr>
        <w:spacing w:after="0"/>
        <w:ind w:left="0"/>
        <w:jc w:val="both"/>
      </w:pPr>
      <w:r>
        <w:rPr>
          <w:rFonts w:ascii="Times New Roman"/>
          <w:b w:val="false"/>
          <w:i w:val="false"/>
          <w:color w:val="000000"/>
          <w:sz w:val="28"/>
        </w:rPr>
        <w:t>
      Ключевыми задачами станут повышение эффективности регуляторных инструментов, снижение выбросов загрязняющих веществ от стационарных источников и повышение экологичности транспорта.</w:t>
      </w:r>
    </w:p>
    <w:bookmarkEnd w:id="753"/>
    <w:bookmarkStart w:name="z802" w:id="754"/>
    <w:p>
      <w:pPr>
        <w:spacing w:after="0"/>
        <w:ind w:left="0"/>
        <w:jc w:val="both"/>
      </w:pPr>
      <w:r>
        <w:rPr>
          <w:rFonts w:ascii="Times New Roman"/>
          <w:b w:val="false"/>
          <w:i w:val="false"/>
          <w:color w:val="000000"/>
          <w:sz w:val="28"/>
        </w:rPr>
        <w:t>
      Реализация новых подходов Экологического кодекса, таких как автоматизированная система мониторинга эмиссий, наилучшие доступные техники и комплексное экологическое разрешение, будет способствовать эффективному управлению качеством воздуха и содействовать достижению целей в области охраны окружающей среды.</w:t>
      </w:r>
    </w:p>
    <w:bookmarkEnd w:id="754"/>
    <w:bookmarkStart w:name="z803" w:id="755"/>
    <w:p>
      <w:pPr>
        <w:spacing w:after="0"/>
        <w:ind w:left="0"/>
        <w:jc w:val="both"/>
      </w:pPr>
      <w:r>
        <w:rPr>
          <w:rFonts w:ascii="Times New Roman"/>
          <w:b w:val="false"/>
          <w:i w:val="false"/>
          <w:color w:val="000000"/>
          <w:sz w:val="28"/>
        </w:rPr>
        <w:t>
      Одними из ключевых рычагов достижения углеродной нейтральности станут поэтапное планомерное снижение доли угольной генерации с увеличением доли ВИЭ, альтернативной энергии, а также использование природного газа в качестве промежуточного топлива. Однако в условиях растущего дефицита природного газа, высокой стоимости проектов ВИЭ, технологической сложности внедрения и других факторов риска решающее значение для эффективного и своевременного достижения целей углеродной нейтральности приобретает реализация комплексного подхода, согласованного и синхронизированного между всеми ответственными органами. Разработанная дорожная карта будет служить ключевым элементом для систематического контроля и реализации комплекса мер по снижению углеродных выбросов.</w:t>
      </w:r>
    </w:p>
    <w:bookmarkEnd w:id="755"/>
    <w:bookmarkStart w:name="z804" w:id="756"/>
    <w:p>
      <w:pPr>
        <w:spacing w:after="0"/>
        <w:ind w:left="0"/>
        <w:jc w:val="both"/>
      </w:pPr>
      <w:r>
        <w:rPr>
          <w:rFonts w:ascii="Times New Roman"/>
          <w:b w:val="false"/>
          <w:i w:val="false"/>
          <w:color w:val="000000"/>
          <w:sz w:val="28"/>
        </w:rPr>
        <w:t>
      Повышение эффективности регуляторных механизмов контроля выбросов. Действующие сегодня механизмы квотирования выбросов не способствуют быстрому снижению углеродного следа промышленности: например, фактический объем выбросов в горной добыче составляет лишь 70% от доступного объема бесплатных квот, в металлургии - 95%, в нефтегазовом секторе - 89%, а запланированное снижение объемов квот на 1,5% в год отодвигает внедрение значимых изменений на производствах. Вместе с тем наряду с ускорением снижения объемов квот необходимо внедрение секторального подхода к определению предельных объемов выбросов, учитывающего различия в природе образования выбросов, эффективности и сложности внедрения экологических технологий для различных секторов.</w:t>
      </w:r>
    </w:p>
    <w:bookmarkEnd w:id="756"/>
    <w:bookmarkStart w:name="z805" w:id="757"/>
    <w:p>
      <w:pPr>
        <w:spacing w:after="0"/>
        <w:ind w:left="0"/>
        <w:jc w:val="both"/>
      </w:pPr>
      <w:r>
        <w:rPr>
          <w:rFonts w:ascii="Times New Roman"/>
          <w:b w:val="false"/>
          <w:i w:val="false"/>
          <w:color w:val="000000"/>
          <w:sz w:val="28"/>
        </w:rPr>
        <w:t>
      Автоматизированная система мониторинга эмиссий (далее - ACM) играет ключевую роль в обеспечении устойчивого развития предприятий и снижения их негативного воздействия на окружающую среду. ACM необходима для соблюдения предприятиями нормативов и ограничений по выбросам в атмосферу, установленных в разрешениях, и предотвращения загрязнения окружающей среды.</w:t>
      </w:r>
    </w:p>
    <w:bookmarkEnd w:id="757"/>
    <w:bookmarkStart w:name="z806" w:id="758"/>
    <w:p>
      <w:pPr>
        <w:spacing w:after="0"/>
        <w:ind w:left="0"/>
        <w:jc w:val="both"/>
      </w:pPr>
      <w:r>
        <w:rPr>
          <w:rFonts w:ascii="Times New Roman"/>
          <w:b w:val="false"/>
          <w:i w:val="false"/>
          <w:color w:val="000000"/>
          <w:sz w:val="28"/>
        </w:rPr>
        <w:t>
      В рамках проведения производственного экологического мониторинга ACM позволит не только отслеживать показатели эмиссий на стационарных источниках, но и передавать эти данные в режиме реального времени в информационную систему мониторинга уполномоченного органа в области охраны окружающей среды.</w:t>
      </w:r>
    </w:p>
    <w:bookmarkEnd w:id="758"/>
    <w:bookmarkStart w:name="z807" w:id="759"/>
    <w:p>
      <w:pPr>
        <w:spacing w:after="0"/>
        <w:ind w:left="0"/>
        <w:jc w:val="both"/>
      </w:pPr>
      <w:r>
        <w:rPr>
          <w:rFonts w:ascii="Times New Roman"/>
          <w:b w:val="false"/>
          <w:i w:val="false"/>
          <w:color w:val="000000"/>
          <w:sz w:val="28"/>
        </w:rPr>
        <w:t>
      С 1 января 2025 года будет осуществлен обязательный переход крупных предприятий 1-ой категории (топ-50) на комплексные экологические разрешения (далее - КЭР), связанные с применением наилучших доступных техник (далее - НДТ).</w:t>
      </w:r>
    </w:p>
    <w:bookmarkEnd w:id="759"/>
    <w:bookmarkStart w:name="z808" w:id="760"/>
    <w:p>
      <w:pPr>
        <w:spacing w:after="0"/>
        <w:ind w:left="0"/>
        <w:jc w:val="both"/>
      </w:pPr>
      <w:r>
        <w:rPr>
          <w:rFonts w:ascii="Times New Roman"/>
          <w:b w:val="false"/>
          <w:i w:val="false"/>
          <w:color w:val="000000"/>
          <w:sz w:val="28"/>
        </w:rPr>
        <w:t>
      Переход на принципы НДТ и механизмы, позволяющие достигать установленные технологические показатели, в итоге позволят решить ряд накопившихся вопросов по каждой отрасли.</w:t>
      </w:r>
    </w:p>
    <w:bookmarkEnd w:id="760"/>
    <w:bookmarkStart w:name="z809" w:id="761"/>
    <w:p>
      <w:pPr>
        <w:spacing w:after="0"/>
        <w:ind w:left="0"/>
        <w:jc w:val="both"/>
      </w:pPr>
      <w:r>
        <w:rPr>
          <w:rFonts w:ascii="Times New Roman"/>
          <w:b w:val="false"/>
          <w:i w:val="false"/>
          <w:color w:val="000000"/>
          <w:sz w:val="28"/>
        </w:rPr>
        <w:t>
      На основе утвержденных справочников НДТ планируется выдача КЭР. Внедрение НДТ в практику работы предприятий позволит обеспечить экологичность производственного процесса, улучшит состояние основных фондов и в целом окружающей среды. При этом основными регулирующими документами для перехода на принципы НДТ являются справочники по НДТ и выданные на них заключения по НДТ.</w:t>
      </w:r>
    </w:p>
    <w:bookmarkEnd w:id="761"/>
    <w:bookmarkStart w:name="z810" w:id="762"/>
    <w:p>
      <w:pPr>
        <w:spacing w:after="0"/>
        <w:ind w:left="0"/>
        <w:jc w:val="both"/>
      </w:pPr>
      <w:r>
        <w:rPr>
          <w:rFonts w:ascii="Times New Roman"/>
          <w:b w:val="false"/>
          <w:i w:val="false"/>
          <w:color w:val="000000"/>
          <w:sz w:val="28"/>
        </w:rPr>
        <w:t>
      Снижение выбросов загрязняющих веществ от стационарных источников в населенных пунктах. В данном направлении предусмотрена проработка стимулирующих механизмов по снижению выбросов от стационарных источников с фокусом на декарбонизацию источников генерации энергии, модернизацию угольных тепловых электростанций, внедрение электрофильтров и газификацию населения, модернизацию угольных котлов и печей в частных домах.</w:t>
      </w:r>
    </w:p>
    <w:bookmarkEnd w:id="762"/>
    <w:bookmarkStart w:name="z811" w:id="763"/>
    <w:p>
      <w:pPr>
        <w:spacing w:after="0"/>
        <w:ind w:left="0"/>
        <w:jc w:val="both"/>
      </w:pPr>
      <w:r>
        <w:rPr>
          <w:rFonts w:ascii="Times New Roman"/>
          <w:b w:val="false"/>
          <w:i w:val="false"/>
          <w:color w:val="000000"/>
          <w:sz w:val="28"/>
        </w:rPr>
        <w:t>
      Будут пересмотрены существующие нормы по выбросам загрязняющих веществ в соответствии с международными стандартами, а также усилены механизмы контроля выбросов загрязняющих веществ и ответственность предприятий за несоблюдение нормативов.</w:t>
      </w:r>
    </w:p>
    <w:bookmarkEnd w:id="763"/>
    <w:bookmarkStart w:name="z812" w:id="764"/>
    <w:p>
      <w:pPr>
        <w:spacing w:after="0"/>
        <w:ind w:left="0"/>
        <w:jc w:val="both"/>
      </w:pPr>
      <w:r>
        <w:rPr>
          <w:rFonts w:ascii="Times New Roman"/>
          <w:b w:val="false"/>
          <w:i w:val="false"/>
          <w:color w:val="000000"/>
          <w:sz w:val="28"/>
        </w:rPr>
        <w:t>
      Повышение экологичности транспорта. С целью снижения выбросов основной фокус планируется направить на внедрение стимулирующих мер по обновлению автопарка, вывод и замену устаревших транспортных средств. Кроме того, будет продолжена работа по развитию производства электромобилей, включая планы по расширению инфраструктуры зарядных станций и предоставление стимулов для перехода на них.</w:t>
      </w:r>
    </w:p>
    <w:bookmarkEnd w:id="764"/>
    <w:bookmarkStart w:name="z813" w:id="76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Минимизация угрозы дефицита воды</w:t>
      </w:r>
    </w:p>
    <w:bookmarkEnd w:id="765"/>
    <w:bookmarkStart w:name="z814" w:id="766"/>
    <w:p>
      <w:pPr>
        <w:spacing w:after="0"/>
        <w:ind w:left="0"/>
        <w:jc w:val="both"/>
      </w:pPr>
      <w:r>
        <w:rPr>
          <w:rFonts w:ascii="Times New Roman"/>
          <w:b w:val="false"/>
          <w:i w:val="false"/>
          <w:color w:val="000000"/>
          <w:sz w:val="28"/>
        </w:rPr>
        <w:t>
      В рамках данного приоритета необходимо достичь снижения дисбаланса между водопотреблением и уровнем запаса водных ресурсов, уменьшения подушевого водопотребления в 1,5 раза, поддержания уровня речного стока страны и увеличения объемов используемых альтернативных водных источников.</w:t>
      </w:r>
    </w:p>
    <w:bookmarkEnd w:id="766"/>
    <w:bookmarkStart w:name="z815" w:id="767"/>
    <w:p>
      <w:pPr>
        <w:spacing w:after="0"/>
        <w:ind w:left="0"/>
        <w:jc w:val="both"/>
      </w:pPr>
      <w:r>
        <w:rPr>
          <w:rFonts w:ascii="Times New Roman"/>
          <w:b w:val="false"/>
          <w:i w:val="false"/>
          <w:color w:val="000000"/>
          <w:sz w:val="28"/>
        </w:rPr>
        <w:t>
      Основными задачами станут повышение эффективности водопользования в сельском хозяйстве, налаживание межгосударственного взаимодействия по вопросам управления водными ресурсами, модернизация водохозяйственной инфраструктуры, использование альтернативных водных источников и применение современных технологий.</w:t>
      </w:r>
    </w:p>
    <w:bookmarkEnd w:id="767"/>
    <w:bookmarkStart w:name="z816" w:id="768"/>
    <w:p>
      <w:pPr>
        <w:spacing w:after="0"/>
        <w:ind w:left="0"/>
        <w:jc w:val="both"/>
      </w:pPr>
      <w:r>
        <w:rPr>
          <w:rFonts w:ascii="Times New Roman"/>
          <w:b w:val="false"/>
          <w:i w:val="false"/>
          <w:color w:val="000000"/>
          <w:sz w:val="28"/>
        </w:rPr>
        <w:t>
      Пересмотр тарифов на воду. Повышение тарифов на воду предусмотрено осуществлять с учетом принятой практики дифференцирования: итоговая стоимость на кубометр должна высчитываться с учетом объемов потребления, источников потребляемой воды, уровня внедрения водосберегающих технологий, технологий оборотного водоснабжения.</w:t>
      </w:r>
    </w:p>
    <w:bookmarkEnd w:id="768"/>
    <w:bookmarkStart w:name="z817" w:id="769"/>
    <w:p>
      <w:pPr>
        <w:spacing w:after="0"/>
        <w:ind w:left="0"/>
        <w:jc w:val="both"/>
      </w:pPr>
      <w:r>
        <w:rPr>
          <w:rFonts w:ascii="Times New Roman"/>
          <w:b w:val="false"/>
          <w:i w:val="false"/>
          <w:color w:val="000000"/>
          <w:sz w:val="28"/>
        </w:rPr>
        <w:t>
      Использование альтернативных водных источников. В рамках данной работы необходима принятие комплексного плана и стимулирующих механизмов использования альтернативных водных источников в орошении, промышленности и бытовых нуждах. Это предполагает как разработку экономических стимулов, таких как налоговые льготы, субсидии или гранты для организаций, активно применяющих альтернативные источники воды, так и проработку необходимых для реализации инфраструктурных проектов.</w:t>
      </w:r>
    </w:p>
    <w:bookmarkEnd w:id="769"/>
    <w:bookmarkStart w:name="z818" w:id="770"/>
    <w:p>
      <w:pPr>
        <w:spacing w:after="0"/>
        <w:ind w:left="0"/>
        <w:jc w:val="both"/>
      </w:pPr>
      <w:r>
        <w:rPr>
          <w:rFonts w:ascii="Times New Roman"/>
          <w:b w:val="false"/>
          <w:i w:val="false"/>
          <w:color w:val="000000"/>
          <w:sz w:val="28"/>
        </w:rPr>
        <w:t>
      Повышение уровня применения водосберегающих технологий, технологий оборотного водоснабжения в сельском хозяйстве и промышленности. Запланирована разработка комплекса мер для стимулирования предприятий сельского хозяйства и промышленности к внедрению водосберегающих технологий, а также систем оборотного и повторного водоснабжения.</w:t>
      </w:r>
    </w:p>
    <w:bookmarkEnd w:id="770"/>
    <w:bookmarkStart w:name="z819" w:id="771"/>
    <w:p>
      <w:pPr>
        <w:spacing w:after="0"/>
        <w:ind w:left="0"/>
        <w:jc w:val="both"/>
      </w:pPr>
      <w:r>
        <w:rPr>
          <w:rFonts w:ascii="Times New Roman"/>
          <w:b w:val="false"/>
          <w:i w:val="false"/>
          <w:color w:val="000000"/>
          <w:sz w:val="28"/>
        </w:rPr>
        <w:t>
      Модернизация водохозяйственной инфраструктуры и цифровизация управления водными ресурсами. Будет проведена работа по строительству и реконструкции водохозяйственных сооружений, систем ирригации для повышения их эффективности и надежности. Кроме того, предусмотрено внедрение современных технологий, интеллектуальных систем учета для мониторинга и контроля за уровнем и состоянием водных ресурсов, что позволит автоматически отслеживать и выявлять аномальные показатели потребления, возможные утечки и другие показатели.</w:t>
      </w:r>
    </w:p>
    <w:bookmarkEnd w:id="771"/>
    <w:bookmarkStart w:name="z820" w:id="772"/>
    <w:p>
      <w:pPr>
        <w:spacing w:after="0"/>
        <w:ind w:left="0"/>
        <w:jc w:val="both"/>
      </w:pPr>
      <w:r>
        <w:rPr>
          <w:rFonts w:ascii="Times New Roman"/>
          <w:b w:val="false"/>
          <w:i w:val="false"/>
          <w:color w:val="000000"/>
          <w:sz w:val="28"/>
        </w:rPr>
        <w:t>
      Налаживание межгосударственного взаимодействия по вопросам управления водными ресурсами. В рамках данной работы будут сформированы соглашения о совместном использовании водных ресурсов, учитывающие интересы всех сторон и обеспечивающие справедливое распределение ресурсов. Кроме того, планируются создание системы мониторинга и обмена данными о водных потоках, проведение совместных гидрологических исследований, а также реализация совместных проектов по управлению водными ресурсами. Особое внимание будет уделено вопросам сохранения и управления водными ресурсами Каспийского моря, озер Балхаш и Арал.</w:t>
      </w:r>
    </w:p>
    <w:bookmarkEnd w:id="772"/>
    <w:bookmarkStart w:name="z821" w:id="77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уровня переработки отходов</w:t>
      </w:r>
    </w:p>
    <w:bookmarkEnd w:id="773"/>
    <w:bookmarkStart w:name="z822" w:id="774"/>
    <w:p>
      <w:pPr>
        <w:spacing w:after="0"/>
        <w:ind w:left="0"/>
        <w:jc w:val="both"/>
      </w:pPr>
      <w:r>
        <w:rPr>
          <w:rFonts w:ascii="Times New Roman"/>
          <w:b w:val="false"/>
          <w:i w:val="false"/>
          <w:color w:val="000000"/>
          <w:sz w:val="28"/>
        </w:rPr>
        <w:t>
      Ожидаемым результатом работы обозначено повышение до 2029 года доли сортированных и переработанных ТБО, рост уровня охвата населения услугами сбора и вывоза ТБО. Основной задачей станет системное решение проблем на протяжении всего жизненного цикла отходов: начиная от сбора до конечного захоронения. Будут пересмотрены тарифы, расширена сеть пунктов раздельного сбора отходов, построены новые и модернизированы существующие сортировочные комплексы, полигоны, а также усилены административные механизмы.</w:t>
      </w:r>
    </w:p>
    <w:bookmarkEnd w:id="774"/>
    <w:bookmarkStart w:name="z823" w:id="775"/>
    <w:p>
      <w:pPr>
        <w:spacing w:after="0"/>
        <w:ind w:left="0"/>
        <w:jc w:val="both"/>
      </w:pPr>
      <w:r>
        <w:rPr>
          <w:rFonts w:ascii="Times New Roman"/>
          <w:b w:val="false"/>
          <w:i w:val="false"/>
          <w:color w:val="000000"/>
          <w:sz w:val="28"/>
        </w:rPr>
        <w:t>
      Пересмотр тарифов на сбор, вывоз, утилизацию, переработку и захоронение твердых бытовых отходов. Планируется пересмотр тарифов всеми уполномоченными органами, индексация на инфляцию с целью доведения их до уровня, экономически целесообразного для привлечения в переработку ТБО инвестиций. Так, к примеру, в крупнейших по численности и объемам образованных отходов городах (Астана, Алматы, Атырау) тарифы не пересматривались 4 года, несмотря на рост инфляции.</w:t>
      </w:r>
    </w:p>
    <w:bookmarkEnd w:id="775"/>
    <w:bookmarkStart w:name="z824" w:id="776"/>
    <w:p>
      <w:pPr>
        <w:spacing w:after="0"/>
        <w:ind w:left="0"/>
        <w:jc w:val="both"/>
      </w:pPr>
      <w:r>
        <w:rPr>
          <w:rFonts w:ascii="Times New Roman"/>
          <w:b w:val="false"/>
          <w:i w:val="false"/>
          <w:color w:val="000000"/>
          <w:sz w:val="28"/>
        </w:rPr>
        <w:t>
      Повышение охвата услугами сбора и вывоза ТБО. В Казахстане около 20% населения не охвачено услугами сбора и вывоза мусора. Проблемы стихийных несанкционированных свалок с каждым годом становятся все значимее, особенно на фоне дефицита полигонов.</w:t>
      </w:r>
    </w:p>
    <w:bookmarkEnd w:id="776"/>
    <w:bookmarkStart w:name="z825" w:id="777"/>
    <w:p>
      <w:pPr>
        <w:spacing w:after="0"/>
        <w:ind w:left="0"/>
        <w:jc w:val="both"/>
      </w:pPr>
      <w:r>
        <w:rPr>
          <w:rFonts w:ascii="Times New Roman"/>
          <w:b w:val="false"/>
          <w:i w:val="false"/>
          <w:color w:val="000000"/>
          <w:sz w:val="28"/>
        </w:rPr>
        <w:t>
      В этой связи планируются строительство и модернизация мусороприемных станций, а также обновление и расширение автопарка мусоровозов, особенно в отдаленных и сельских районах. Кроме того, важным шагом в сторону повышения уровня переработки отходов станет внедрение пунктов раздельного ТБО во всех населенных пунктах Казахстана.</w:t>
      </w:r>
    </w:p>
    <w:bookmarkEnd w:id="777"/>
    <w:bookmarkStart w:name="z826" w:id="778"/>
    <w:p>
      <w:pPr>
        <w:spacing w:after="0"/>
        <w:ind w:left="0"/>
        <w:jc w:val="both"/>
      </w:pPr>
      <w:r>
        <w:rPr>
          <w:rFonts w:ascii="Times New Roman"/>
          <w:b w:val="false"/>
          <w:i w:val="false"/>
          <w:color w:val="000000"/>
          <w:sz w:val="28"/>
        </w:rPr>
        <w:t>
      В целях максимального извлечения полезных ресурсов из отходов особое внимание уполномоченного органа в области охраны окружающей среды и местных исполнительных органов будет направлено на развитие системы экономического стимулирования населения и организаций по активному участию в раздельном сборе отходов, а также проведение информационных кампаний и реализация образовательных программ.</w:t>
      </w:r>
    </w:p>
    <w:bookmarkEnd w:id="778"/>
    <w:bookmarkStart w:name="z827" w:id="779"/>
    <w:p>
      <w:pPr>
        <w:spacing w:after="0"/>
        <w:ind w:left="0"/>
        <w:jc w:val="both"/>
      </w:pPr>
      <w:r>
        <w:rPr>
          <w:rFonts w:ascii="Times New Roman"/>
          <w:b w:val="false"/>
          <w:i w:val="false"/>
          <w:color w:val="000000"/>
          <w:sz w:val="28"/>
        </w:rPr>
        <w:t>
      Строительство новых, модернизация существующих сортировочных комплексов по сортировке и переработке ТБО. Обеспечение широкого охвата и глубины переработки образованных отходов, прежде всего, в крупных городах, потребует значительного расширения мощностей с внедрением современных технологий сортировки (автоматизированные системы и оптические сенсоры) и переработки.</w:t>
      </w:r>
    </w:p>
    <w:bookmarkEnd w:id="779"/>
    <w:bookmarkStart w:name="z828" w:id="780"/>
    <w:p>
      <w:pPr>
        <w:spacing w:after="0"/>
        <w:ind w:left="0"/>
        <w:jc w:val="both"/>
      </w:pPr>
      <w:r>
        <w:rPr>
          <w:rFonts w:ascii="Times New Roman"/>
          <w:b w:val="false"/>
          <w:i w:val="false"/>
          <w:color w:val="000000"/>
          <w:sz w:val="28"/>
        </w:rPr>
        <w:t>
      Для привлечения частных инвестиций в отрасль будут проработаны стимулирующие механизмы, в том числе направленные на развитие инструментов государственно-частного партнерства.</w:t>
      </w:r>
    </w:p>
    <w:bookmarkEnd w:id="780"/>
    <w:bookmarkStart w:name="z829" w:id="781"/>
    <w:p>
      <w:pPr>
        <w:spacing w:after="0"/>
        <w:ind w:left="0"/>
        <w:jc w:val="both"/>
      </w:pPr>
      <w:r>
        <w:rPr>
          <w:rFonts w:ascii="Times New Roman"/>
          <w:b w:val="false"/>
          <w:i w:val="false"/>
          <w:color w:val="000000"/>
          <w:sz w:val="28"/>
        </w:rPr>
        <w:t>
      Предусмотрено принятие мер по развитию принципов циркулярной экономики путем более эффективного использования имеющихся ресурсов, переработки отходов и производства товаров из вторичного сырья.</w:t>
      </w:r>
    </w:p>
    <w:bookmarkEnd w:id="781"/>
    <w:bookmarkStart w:name="z830" w:id="782"/>
    <w:p>
      <w:pPr>
        <w:spacing w:after="0"/>
        <w:ind w:left="0"/>
        <w:jc w:val="both"/>
      </w:pPr>
      <w:r>
        <w:rPr>
          <w:rFonts w:ascii="Times New Roman"/>
          <w:b w:val="false"/>
          <w:i w:val="false"/>
          <w:color w:val="000000"/>
          <w:sz w:val="28"/>
        </w:rPr>
        <w:t>
      Строительство новых и модернизация существующих полигонов для захоронения отходов. С целью снижения экологического воздействия планируются рекультивация старых полигонов, строительство новых и модернизация текущих полигонов в соответствии с современными санитарными нормами. Особое внимание будет направлено на привлечение частных инвестиций.</w:t>
      </w:r>
    </w:p>
    <w:bookmarkEnd w:id="782"/>
    <w:bookmarkStart w:name="z831" w:id="783"/>
    <w:p>
      <w:pPr>
        <w:spacing w:after="0"/>
        <w:ind w:left="0"/>
        <w:jc w:val="both"/>
      </w:pPr>
      <w:r>
        <w:rPr>
          <w:rFonts w:ascii="Times New Roman"/>
          <w:b w:val="false"/>
          <w:i w:val="false"/>
          <w:color w:val="000000"/>
          <w:sz w:val="28"/>
        </w:rPr>
        <w:t>
      Повышение эффективности регуляторных механизмов. Для повышения эффективности управления отходами и соблюдения экологических стандартов предусмотрены меры по усилению ответственности за нарушения, связанные с раздельным сбором отходов, борьбы с нелегальным оборотом вторичного сырья, а также обеспечению соответствия требованиям по эксплуатации отходов и санитарным нормам полигонов.</w:t>
      </w:r>
    </w:p>
    <w:bookmarkEnd w:id="783"/>
    <w:bookmarkStart w:name="z832" w:id="784"/>
    <w:p>
      <w:pPr>
        <w:spacing w:after="0"/>
        <w:ind w:left="0"/>
        <w:jc w:val="both"/>
      </w:pPr>
      <w:r>
        <w:rPr>
          <w:rFonts w:ascii="Times New Roman"/>
          <w:b w:val="false"/>
          <w:i w:val="false"/>
          <w:color w:val="000000"/>
          <w:sz w:val="28"/>
        </w:rPr>
        <w:t>
      Кроме того, предполагается повышение ответственности субъектов предпринимательства, являющихся образователями отходов, в целях обеспечения надлежащего обращения и управления ими. При этом для исключения необоснованного роста цен на производимую продукцию вследствие включения в ее стоимость затрат на последующие операции по управлению отходами будут созданы механизмы его мониторинга и недопущения при условии соблюдения экологических требований.</w:t>
      </w:r>
    </w:p>
    <w:bookmarkEnd w:id="784"/>
    <w:bookmarkStart w:name="z833" w:id="78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Сохранение биоразнообразия</w:t>
      </w:r>
    </w:p>
    <w:bookmarkEnd w:id="785"/>
    <w:bookmarkStart w:name="z834" w:id="786"/>
    <w:p>
      <w:pPr>
        <w:spacing w:after="0"/>
        <w:ind w:left="0"/>
        <w:jc w:val="both"/>
      </w:pPr>
      <w:r>
        <w:rPr>
          <w:rFonts w:ascii="Times New Roman"/>
          <w:b w:val="false"/>
          <w:i w:val="false"/>
          <w:color w:val="000000"/>
          <w:sz w:val="28"/>
        </w:rPr>
        <w:t>
      В рамках данного приоритета запланировано достижение следующих результатов: увеличение доли особо охраняемых природных территорий, повышение уровня материальной и технической оснащенности природоохранных и лесных учреждений, а также увеличение лесистости.</w:t>
      </w:r>
    </w:p>
    <w:bookmarkEnd w:id="786"/>
    <w:bookmarkStart w:name="z835" w:id="787"/>
    <w:p>
      <w:pPr>
        <w:spacing w:after="0"/>
        <w:ind w:left="0"/>
        <w:jc w:val="both"/>
      </w:pPr>
      <w:r>
        <w:rPr>
          <w:rFonts w:ascii="Times New Roman"/>
          <w:b w:val="false"/>
          <w:i w:val="false"/>
          <w:color w:val="000000"/>
          <w:sz w:val="28"/>
        </w:rPr>
        <w:t>
      В качестве основных задач определены укрепление материально- технической оснащенности, повышение уровня квалификации персонала, усиление лесовоспроизводительных мероприятий, разработка комплексной программы развития и управления биоразнообразием.</w:t>
      </w:r>
    </w:p>
    <w:bookmarkEnd w:id="787"/>
    <w:bookmarkStart w:name="z836" w:id="788"/>
    <w:p>
      <w:pPr>
        <w:spacing w:after="0"/>
        <w:ind w:left="0"/>
        <w:jc w:val="both"/>
      </w:pPr>
      <w:r>
        <w:rPr>
          <w:rFonts w:ascii="Times New Roman"/>
          <w:b w:val="false"/>
          <w:i w:val="false"/>
          <w:color w:val="000000"/>
          <w:sz w:val="28"/>
        </w:rPr>
        <w:t>
      Укрепление материально-технической оснащенности. Для эффективной охраны особо охраняемых природных территорий предусмотрено усиление материально-технической оснащенности, в том числе обеспечение современным оборудованием, необходимой защитной амуницией, инструментами для мониторинга состояния природы и другое.</w:t>
      </w:r>
    </w:p>
    <w:bookmarkEnd w:id="788"/>
    <w:bookmarkStart w:name="z837" w:id="789"/>
    <w:p>
      <w:pPr>
        <w:spacing w:after="0"/>
        <w:ind w:left="0"/>
        <w:jc w:val="both"/>
      </w:pPr>
      <w:r>
        <w:rPr>
          <w:rFonts w:ascii="Times New Roman"/>
          <w:b w:val="false"/>
          <w:i w:val="false"/>
          <w:color w:val="000000"/>
          <w:sz w:val="28"/>
        </w:rPr>
        <w:t>
      Повышение уровня квалификации персонала. Для повышения квалификации персонала в лесном хозяйстве и сокращения оттока выпускников будет проработан комплекс стимулирующих механизмов, включая обязательную отработку для получателей государственных грантов, предоставление конкурентных условий труда, социальных гарантий и льгот, разработку программ повышения квалификации.</w:t>
      </w:r>
    </w:p>
    <w:bookmarkEnd w:id="789"/>
    <w:bookmarkStart w:name="z838" w:id="790"/>
    <w:p>
      <w:pPr>
        <w:spacing w:after="0"/>
        <w:ind w:left="0"/>
        <w:jc w:val="both"/>
      </w:pPr>
      <w:r>
        <w:rPr>
          <w:rFonts w:ascii="Times New Roman"/>
          <w:b w:val="false"/>
          <w:i w:val="false"/>
          <w:color w:val="000000"/>
          <w:sz w:val="28"/>
        </w:rPr>
        <w:t>
      Усиление лесовоспроизводительных мероприятий. В целях поддержания устойчивости лесных экосистем предусмотрено ускорение процессов лесовосстановления и лесовозобновления.</w:t>
      </w:r>
    </w:p>
    <w:bookmarkEnd w:id="790"/>
    <w:bookmarkStart w:name="z839" w:id="791"/>
    <w:p>
      <w:pPr>
        <w:spacing w:after="0"/>
        <w:ind w:left="0"/>
        <w:jc w:val="both"/>
      </w:pPr>
      <w:r>
        <w:rPr>
          <w:rFonts w:ascii="Times New Roman"/>
          <w:b w:val="false"/>
          <w:i w:val="false"/>
          <w:color w:val="000000"/>
          <w:sz w:val="28"/>
        </w:rPr>
        <w:t>
      Разработка комплексной программы развития и управления биоразнообразием. Для сохранения и управления биоразнообразием планируется разработка комплексного экосистемного подхода, предусматривающего мониторинг экосистем, оценку экологических угроз, разработку и внедрение управленческих стратегий по восстановлению и защите сред обитания. Особое внимание будет уделено сохранению и восстановлению численности редких краснокнижных животных, особенно таких как снежный барс, каспийские тюлени, джейраны, тугайные олени, беркуты и другие виды. При этом сохранится запрет на выдачу разрешений на отстрел сайгаков. Наряду с усилением законодательства в области защиты природы запланирована проработка мер по обеспечению необходимого финансирования и ресурсов для проведения исследований и практических мероприятий по сохранению и восстановлению биоразнообразия.</w:t>
      </w:r>
    </w:p>
    <w:bookmarkEnd w:id="791"/>
    <w:bookmarkStart w:name="z840" w:id="79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Сокращение выбросов парниковых газов</w:t>
      </w:r>
    </w:p>
    <w:bookmarkEnd w:id="792"/>
    <w:bookmarkStart w:name="z841" w:id="793"/>
    <w:p>
      <w:pPr>
        <w:spacing w:after="0"/>
        <w:ind w:left="0"/>
        <w:jc w:val="both"/>
      </w:pPr>
      <w:r>
        <w:rPr>
          <w:rFonts w:ascii="Times New Roman"/>
          <w:b w:val="false"/>
          <w:i w:val="false"/>
          <w:color w:val="000000"/>
          <w:sz w:val="28"/>
        </w:rPr>
        <w:t>
      Работа в рамках данного приоритета будет направлена на усиление системы торговли выбросов. Для обеспечения достижения определяемых на национальном уровне вкладов в следующем периоде углеродного бюджетирования с 2026 по 2030 год предусмотрено увеличение ежегодной ставки сокращения выбросов парниковых газов от 2,7% до 5% от уровня углеродного бюджета предыдущего года.</w:t>
      </w:r>
    </w:p>
    <w:bookmarkEnd w:id="793"/>
    <w:p>
      <w:pPr>
        <w:spacing w:after="0"/>
        <w:ind w:left="0"/>
        <w:jc w:val="both"/>
      </w:pPr>
      <w:r>
        <w:rPr>
          <w:rFonts w:ascii="Times New Roman"/>
          <w:b/>
          <w:i w:val="false"/>
          <w:color w:val="000000"/>
          <w:sz w:val="28"/>
        </w:rPr>
        <w:t>4.4. ЭФФЕКТИВНЫЕ ГОСУДАРСТВЕННЫЕ ФИНАНСЫ</w:t>
      </w:r>
    </w:p>
    <w:bookmarkStart w:name="z843" w:id="794"/>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94"/>
    <w:bookmarkStart w:name="z844" w:id="795"/>
    <w:p>
      <w:pPr>
        <w:spacing w:after="0"/>
        <w:ind w:left="0"/>
        <w:jc w:val="both"/>
      </w:pPr>
      <w:r>
        <w:rPr>
          <w:rFonts w:ascii="Times New Roman"/>
          <w:b w:val="false"/>
          <w:i w:val="false"/>
          <w:color w:val="000000"/>
          <w:sz w:val="28"/>
        </w:rPr>
        <w:t>
      Казахстан прошел большой путь становления и совершенствования системы бюджетного регулирования: проведен ряд значимых, взаимосвязанных и эффективных реформ. Однако бюджетная система страны характеризуется хроническим дефицитом, в том числе ненефтяным дефицитом, а также ростом долговой нагрузки на бюджет.</w:t>
      </w:r>
    </w:p>
    <w:bookmarkEnd w:id="795"/>
    <w:bookmarkStart w:name="z845" w:id="796"/>
    <w:p>
      <w:pPr>
        <w:spacing w:after="0"/>
        <w:ind w:left="0"/>
        <w:jc w:val="both"/>
      </w:pPr>
      <w:r>
        <w:rPr>
          <w:rFonts w:ascii="Times New Roman"/>
          <w:b w:val="false"/>
          <w:i w:val="false"/>
          <w:color w:val="000000"/>
          <w:sz w:val="28"/>
        </w:rPr>
        <w:t>
      В частности, за последние 5 лет накопленная сумма дефицита государственного бюджета составила 9,6 трлн тенге, что в среднем соизмеримо с объемом годовых налоговых поступлений в бюджет. В то же время накопленный за 5 лет ненефтяной дефицит достиг 34,6 трлн тенге. Соответственно, с 2017 года дефицит государственного бюджета колеблется на уровне 1,3 - 4%, а ненефтяной дефицит государственного бюджета - в пределах 7,3 - 11,5% ВВП.</w:t>
      </w:r>
    </w:p>
    <w:bookmarkEnd w:id="796"/>
    <w:bookmarkStart w:name="z846" w:id="797"/>
    <w:p>
      <w:pPr>
        <w:spacing w:after="0"/>
        <w:ind w:left="0"/>
        <w:jc w:val="both"/>
      </w:pPr>
      <w:r>
        <w:rPr>
          <w:rFonts w:ascii="Times New Roman"/>
          <w:b w:val="false"/>
          <w:i w:val="false"/>
          <w:color w:val="000000"/>
          <w:sz w:val="28"/>
        </w:rPr>
        <w:t>
      Таким образом, наблюдается усугубление зависимости бюджета от нефтяных доходов, что обуславливает остроту проблемы устойчивости бюджетной системы как в текущем, так и в долгосрочном периоде.</w:t>
      </w:r>
    </w:p>
    <w:bookmarkEnd w:id="797"/>
    <w:bookmarkStart w:name="z847" w:id="798"/>
    <w:p>
      <w:pPr>
        <w:spacing w:after="0"/>
        <w:ind w:left="0"/>
        <w:jc w:val="both"/>
      </w:pPr>
      <w:r>
        <w:rPr>
          <w:rFonts w:ascii="Times New Roman"/>
          <w:b w:val="false"/>
          <w:i w:val="false"/>
          <w:color w:val="000000"/>
          <w:sz w:val="28"/>
        </w:rPr>
        <w:t>
      В последние годы также установилась тенденция к искажению приоритетов государственных расходов в пользу наращивания текущих затрат. В итоге доля бюджета развития в структуре расходов снизилась с 12,5% в 2013 году до 9,2% в 2022 году.</w:t>
      </w:r>
    </w:p>
    <w:bookmarkEnd w:id="798"/>
    <w:bookmarkStart w:name="z848" w:id="799"/>
    <w:p>
      <w:pPr>
        <w:spacing w:after="0"/>
        <w:ind w:left="0"/>
        <w:jc w:val="both"/>
      </w:pPr>
      <w:r>
        <w:rPr>
          <w:rFonts w:ascii="Times New Roman"/>
          <w:b w:val="false"/>
          <w:i w:val="false"/>
          <w:color w:val="000000"/>
          <w:sz w:val="28"/>
        </w:rPr>
        <w:t>
      Действующая система межбюджетных отношений характеризуется фискальной централизацией. Число регионов-реципиентов бюджетных субвенций увеличилось с 7 в 2001 году до 17 в 2023 году. За период с 2001 по 2022 год соотношение объема трансфертов из республиканского бюджета (далее - РБ) и совокупных доходов местного бюджета увеличилось с 15,6% до 52,7%.</w:t>
      </w:r>
    </w:p>
    <w:bookmarkEnd w:id="799"/>
    <w:bookmarkStart w:name="z849" w:id="800"/>
    <w:p>
      <w:pPr>
        <w:spacing w:after="0"/>
        <w:ind w:left="0"/>
        <w:jc w:val="both"/>
      </w:pPr>
      <w:r>
        <w:rPr>
          <w:rFonts w:ascii="Times New Roman"/>
          <w:b w:val="false"/>
          <w:i w:val="false"/>
          <w:color w:val="000000"/>
          <w:sz w:val="28"/>
        </w:rPr>
        <w:t>
      Финансирование хронического дефицита осуществляется через наращивание трансфертов из Национального фонда Республики Казахстан (далее - НФ) и увеличение государственного долга. Государственный долг вырос с 14,4% ВВП в 2010 году до 22,5% ВВП в 2023 году, при этом расходы на его обслуживание увеличились с 1,8% в 2010 году до 6,7% в 2023 году (1,9 трлн тенге) в общем объеме расходов.</w:t>
      </w:r>
    </w:p>
    <w:bookmarkEnd w:id="800"/>
    <w:bookmarkStart w:name="z850" w:id="801"/>
    <w:p>
      <w:pPr>
        <w:spacing w:after="0"/>
        <w:ind w:left="0"/>
        <w:jc w:val="both"/>
      </w:pPr>
      <w:r>
        <w:rPr>
          <w:rFonts w:ascii="Times New Roman"/>
          <w:b w:val="false"/>
          <w:i w:val="false"/>
          <w:color w:val="000000"/>
          <w:sz w:val="28"/>
        </w:rPr>
        <w:t>
      За последние 10 лет 63,3% всех поступлений в НФ были изъяты в бюджет в виде гарантированных и целевых трансфертов. Поступления трансфертов из НФ в РБ имели тенденцию к постепенному росту: с 3,9% ВВП в 2013 году до 8,1% ВВП в 2017 году и до 6,8 - 4,4% ВВП в 2020 - 2022 годах.</w:t>
      </w:r>
    </w:p>
    <w:bookmarkEnd w:id="801"/>
    <w:bookmarkStart w:name="z851" w:id="802"/>
    <w:p>
      <w:pPr>
        <w:spacing w:after="0"/>
        <w:ind w:left="0"/>
        <w:jc w:val="both"/>
      </w:pPr>
      <w:r>
        <w:rPr>
          <w:rFonts w:ascii="Times New Roman"/>
          <w:b w:val="false"/>
          <w:i w:val="false"/>
          <w:color w:val="000000"/>
          <w:sz w:val="28"/>
        </w:rPr>
        <w:t>
      Балансирование параметров государственного бюджета за счет дополнительных изъятий из НФ и увеличения дефицита бюджета привело к нарушению установленных целевых значений по ненефтяному дефициту и росту долговой нагрузки. С учетом растущего дефицита процессы бюджетного планирования, исполнения бюджета, а также вопросы налогообложения становятся критически важными в управлении государственными финансами.</w:t>
      </w:r>
    </w:p>
    <w:bookmarkEnd w:id="802"/>
    <w:bookmarkStart w:name="z852" w:id="803"/>
    <w:p>
      <w:pPr>
        <w:spacing w:after="0"/>
        <w:ind w:left="0"/>
        <w:jc w:val="both"/>
      </w:pPr>
      <w:r>
        <w:rPr>
          <w:rFonts w:ascii="Times New Roman"/>
          <w:b w:val="false"/>
          <w:i w:val="false"/>
          <w:color w:val="000000"/>
          <w:sz w:val="28"/>
        </w:rPr>
        <w:t>
      Объем налоговых поступлений по отношению к ВВП характеризуется волатильностью, достигнув минимального значения 14,1% ВВП в 2020 году. Этот показатель в Казахстане ниже, чем в других сопоставимых странах, что обусловлено в том числе недостаточной эффективностью налогового администрирования, а также значительным объемом налоговых льгот. Стоит отметить, что такие льготы могут также способствовать снижению мотивации предпринимателей к качественному повышению своей конкурентоспособности, инвестициям в инновации и повышению эффективности.</w:t>
      </w:r>
    </w:p>
    <w:bookmarkEnd w:id="803"/>
    <w:bookmarkStart w:name="z853" w:id="804"/>
    <w:p>
      <w:pPr>
        <w:spacing w:after="0"/>
        <w:ind w:left="0"/>
        <w:jc w:val="both"/>
      </w:pPr>
      <w:r>
        <w:rPr>
          <w:rFonts w:ascii="Times New Roman"/>
          <w:b w:val="false"/>
          <w:i w:val="false"/>
          <w:color w:val="000000"/>
          <w:sz w:val="28"/>
        </w:rPr>
        <w:t>
      Еще одним индикатором потенциала для улучшения налогового администрирования является низкая продуктивность налогов</w:t>
      </w:r>
      <w:r>
        <w:rPr>
          <w:rFonts w:ascii="Times New Roman"/>
          <w:b w:val="false"/>
          <w:i w:val="false"/>
          <w:color w:val="000000"/>
          <w:vertAlign w:val="superscript"/>
        </w:rPr>
        <w:t>35</w:t>
      </w:r>
      <w:r>
        <w:rPr>
          <w:rFonts w:ascii="Times New Roman"/>
          <w:b w:val="false"/>
          <w:i w:val="false"/>
          <w:color w:val="000000"/>
          <w:sz w:val="28"/>
        </w:rPr>
        <w:t>.</w:t>
      </w:r>
    </w:p>
    <w:bookmarkEnd w:id="804"/>
    <w:bookmarkStart w:name="z854" w:id="805"/>
    <w:p>
      <w:pPr>
        <w:spacing w:after="0"/>
        <w:ind w:left="0"/>
        <w:jc w:val="both"/>
      </w:pPr>
      <w:r>
        <w:rPr>
          <w:rFonts w:ascii="Times New Roman"/>
          <w:b w:val="false"/>
          <w:i w:val="false"/>
          <w:color w:val="000000"/>
          <w:sz w:val="28"/>
        </w:rPr>
        <w:t>
      Согласно оценкам экспертов, дальнейшему повышению эффективности налогового администрирования препятствуют несколько ключевых вызовов, а именно медленное внедрение интегрированной системы налогового администрирования и несовершенство системы управления рисками (далее - СУР). Также на данный момент модель налогового администрирования ориентирована на работу с последствиями, в частности на уровне взыскания задолженности, нежели на предупредительную работу с потенциальными нарушителями. Действующая СУР не является комплексной и в текущий момент используется только как инструмент выбора субъектов предпринимательства для проведения аудита.</w:t>
      </w:r>
    </w:p>
    <w:bookmarkEnd w:id="805"/>
    <w:bookmarkStart w:name="z855" w:id="806"/>
    <w:p>
      <w:pPr>
        <w:spacing w:after="0"/>
        <w:ind w:left="0"/>
        <w:jc w:val="both"/>
      </w:pPr>
      <w:r>
        <w:rPr>
          <w:rFonts w:ascii="Times New Roman"/>
          <w:b w:val="false"/>
          <w:i w:val="false"/>
          <w:color w:val="000000"/>
          <w:sz w:val="28"/>
        </w:rPr>
        <w:t>
      Приоритеты развития до 2029 года</w:t>
      </w:r>
    </w:p>
    <w:bookmarkEnd w:id="806"/>
    <w:bookmarkStart w:name="z856" w:id="807"/>
    <w:p>
      <w:pPr>
        <w:spacing w:after="0"/>
        <w:ind w:left="0"/>
        <w:jc w:val="both"/>
      </w:pPr>
      <w:r>
        <w:rPr>
          <w:rFonts w:ascii="Times New Roman"/>
          <w:b w:val="false"/>
          <w:i w:val="false"/>
          <w:color w:val="000000"/>
          <w:sz w:val="28"/>
        </w:rPr>
        <w:t>
      Кардинальная реформа в бюджетных и налоговых отношениях станет частью нового общественного договора между государством и бизнесом, закрепляющего подходы в справедливом распределении национального дохода.</w:t>
      </w:r>
    </w:p>
    <w:bookmarkEnd w:id="807"/>
    <w:bookmarkStart w:name="z857" w:id="808"/>
    <w:p>
      <w:pPr>
        <w:spacing w:after="0"/>
        <w:ind w:left="0"/>
        <w:jc w:val="both"/>
      </w:pPr>
      <w:r>
        <w:rPr>
          <w:rFonts w:ascii="Times New Roman"/>
          <w:b w:val="false"/>
          <w:i w:val="false"/>
          <w:color w:val="000000"/>
          <w:sz w:val="28"/>
        </w:rPr>
        <w:t>
      Для обеспечения снижения зависимости РБ от нефтяных доходов и повышения устойчивости бюджета к внешним факторам налогово-бюджетная политика должна формироваться исходя из постепенного снижения ненефтяного дефицита относительно ВВП до 5,5% в 2029 году.</w:t>
      </w:r>
    </w:p>
    <w:bookmarkEnd w:id="808"/>
    <w:bookmarkStart w:name="z858" w:id="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Поддержание сбалансированной бюджетной политики, основанной на принципах бережливости и ответственности</w:t>
      </w:r>
    </w:p>
    <w:bookmarkEnd w:id="809"/>
    <w:bookmarkStart w:name="z859" w:id="810"/>
    <w:p>
      <w:pPr>
        <w:spacing w:after="0"/>
        <w:ind w:left="0"/>
        <w:jc w:val="both"/>
      </w:pPr>
      <w:r>
        <w:rPr>
          <w:rFonts w:ascii="Times New Roman"/>
          <w:b w:val="false"/>
          <w:i w:val="false"/>
          <w:color w:val="000000"/>
          <w:sz w:val="28"/>
        </w:rPr>
        <w:t>
      Усилия в рамках данного приоритета будут нацелены на увеличение валютных активов НФ, а также поддержание доли затрат на обслуживание правительственного долга на уровне не выше 10% от общих расходов республиканского бюджета до 2029 года.</w:t>
      </w:r>
    </w:p>
    <w:bookmarkEnd w:id="810"/>
    <w:bookmarkStart w:name="z860" w:id="811"/>
    <w:p>
      <w:pPr>
        <w:spacing w:after="0"/>
        <w:ind w:left="0"/>
        <w:jc w:val="both"/>
      </w:pPr>
      <w:r>
        <w:rPr>
          <w:rFonts w:ascii="Times New Roman"/>
          <w:b w:val="false"/>
          <w:i w:val="false"/>
          <w:color w:val="000000"/>
          <w:sz w:val="28"/>
        </w:rPr>
        <w:t>
      При этом основными задачами станут консолидация государственных финансов и обеспечение сбалансированности и устойчивости бюджета за счет наращивания средств НФ.</w:t>
      </w:r>
    </w:p>
    <w:bookmarkEnd w:id="811"/>
    <w:bookmarkStart w:name="z861" w:id="812"/>
    <w:p>
      <w:pPr>
        <w:spacing w:after="0"/>
        <w:ind w:left="0"/>
        <w:jc w:val="both"/>
      </w:pPr>
      <w:r>
        <w:rPr>
          <w:rFonts w:ascii="Times New Roman"/>
          <w:b w:val="false"/>
          <w:i w:val="false"/>
          <w:color w:val="000000"/>
          <w:sz w:val="28"/>
        </w:rPr>
        <w:t>
      Одним из приоритетов в реализации макроэкономической политики станут неукоснительное следование контрцикличным бюджетным правилам и поддержание устойчивости бюджетных параметров.</w:t>
      </w:r>
    </w:p>
    <w:bookmarkEnd w:id="812"/>
    <w:bookmarkStart w:name="z862" w:id="813"/>
    <w:p>
      <w:pPr>
        <w:spacing w:after="0"/>
        <w:ind w:left="0"/>
        <w:jc w:val="both"/>
      </w:pPr>
      <w:r>
        <w:rPr>
          <w:rFonts w:ascii="Times New Roman"/>
          <w:b w:val="false"/>
          <w:i w:val="false"/>
          <w:color w:val="000000"/>
          <w:sz w:val="28"/>
        </w:rPr>
        <w:t>
      Это будет способствовать обеспечению сбалансированности государственных финансов, снижению ненефтяного дефицита, обеспечению сохранности и накоплению активов НФ, а также в целом координации фискальной политики с монетарной, что позволит снизить инфляционное давление.</w:t>
      </w:r>
    </w:p>
    <w:bookmarkEnd w:id="813"/>
    <w:bookmarkStart w:name="z863" w:id="814"/>
    <w:p>
      <w:pPr>
        <w:spacing w:after="0"/>
        <w:ind w:left="0"/>
        <w:jc w:val="both"/>
      </w:pPr>
      <w:r>
        <w:rPr>
          <w:rFonts w:ascii="Times New Roman"/>
          <w:b w:val="false"/>
          <w:i w:val="false"/>
          <w:color w:val="000000"/>
          <w:sz w:val="28"/>
        </w:rPr>
        <w:t>
      Внимание также планируется уделить управлению государственным долгом и совершенствованию политики межбюджетных отношений.</w:t>
      </w:r>
    </w:p>
    <w:bookmarkEnd w:id="814"/>
    <w:bookmarkStart w:name="z864" w:id="815"/>
    <w:p>
      <w:pPr>
        <w:spacing w:after="0"/>
        <w:ind w:left="0"/>
        <w:jc w:val="both"/>
      </w:pPr>
      <w:r>
        <w:rPr>
          <w:rFonts w:ascii="Times New Roman"/>
          <w:b w:val="false"/>
          <w:i w:val="false"/>
          <w:color w:val="000000"/>
          <w:sz w:val="28"/>
        </w:rPr>
        <w:t>
      Кроме того, немаловажным аспектом обеспечения долгосрочной устойчивости государственных финансов и повышения фискальной дисциплины станет включение целевых трансфертов из НФ в периметр бюджетного правила, что снизит дискретность в проведении ответственной налогово-бюджетной политики.</w:t>
      </w:r>
    </w:p>
    <w:bookmarkEnd w:id="815"/>
    <w:p>
      <w:pPr>
        <w:spacing w:after="0"/>
        <w:ind w:left="0"/>
        <w:jc w:val="both"/>
      </w:pPr>
      <w:bookmarkStart w:name="z865" w:id="816"/>
      <w:r>
        <w:rPr>
          <w:rFonts w:ascii="Times New Roman"/>
          <w:b w:val="false"/>
          <w:i w:val="false"/>
          <w:color w:val="000000"/>
          <w:sz w:val="28"/>
        </w:rPr>
        <w:t>
      ____________________________________</w:t>
      </w:r>
    </w:p>
    <w:bookmarkEnd w:id="816"/>
    <w:p>
      <w:pPr>
        <w:spacing w:after="0"/>
        <w:ind w:left="0"/>
        <w:jc w:val="both"/>
      </w:pPr>
      <w:r>
        <w:rPr>
          <w:rFonts w:ascii="Times New Roman"/>
          <w:b w:val="false"/>
          <w:i w:val="false"/>
          <w:color w:val="000000"/>
          <w:vertAlign w:val="superscript"/>
        </w:rPr>
        <w:t>3</w:t>
      </w:r>
      <w:r>
        <w:rPr>
          <w:rFonts w:ascii="Times New Roman"/>
          <w:b w:val="false"/>
          <w:i w:val="false"/>
          <w:color w:val="000000"/>
          <w:vertAlign w:val="superscript"/>
        </w:rPr>
        <w:t>5</w:t>
      </w:r>
      <w:r>
        <w:rPr>
          <w:rFonts w:ascii="Times New Roman"/>
          <w:b w:val="false"/>
          <w:i w:val="false"/>
          <w:color w:val="000000"/>
          <w:sz w:val="28"/>
        </w:rPr>
        <w:t xml:space="preserve"> Отношение выручки от вида налога к ВВП к номинальной ставке.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6" w:id="817"/>
    <w:p>
      <w:pPr>
        <w:spacing w:after="0"/>
        <w:ind w:left="0"/>
        <w:jc w:val="both"/>
      </w:pPr>
      <w:r>
        <w:rPr>
          <w:rFonts w:ascii="Times New Roman"/>
          <w:b w:val="false"/>
          <w:i w:val="false"/>
          <w:color w:val="000000"/>
          <w:sz w:val="28"/>
        </w:rPr>
        <w:t>
      Стабилизация и наращивание активов Национального фонда. Планируется постепенное сокращение объемов привлечения средств из НФ. Размер трансферта из НФ не будет превышать поступления от нефтяных компаний, рассчитанные по установленной цене на нефть (цена "отсечения"). Эта цена будет корректироваться в зависимости от роста добычи нефти, чтобы усилить сберегательную функцию фонда.</w:t>
      </w:r>
    </w:p>
    <w:bookmarkEnd w:id="817"/>
    <w:bookmarkStart w:name="z867" w:id="818"/>
    <w:p>
      <w:pPr>
        <w:spacing w:after="0"/>
        <w:ind w:left="0"/>
        <w:jc w:val="both"/>
      </w:pPr>
      <w:r>
        <w:rPr>
          <w:rFonts w:ascii="Times New Roman"/>
          <w:b w:val="false"/>
          <w:i w:val="false"/>
          <w:color w:val="000000"/>
          <w:sz w:val="28"/>
        </w:rPr>
        <w:t>
      В целях увеличения долгосрочной доходности сберегательного портфеля продолжится работа по улучшению управления активами НФ.</w:t>
      </w:r>
    </w:p>
    <w:bookmarkEnd w:id="818"/>
    <w:bookmarkStart w:name="z868" w:id="819"/>
    <w:p>
      <w:pPr>
        <w:spacing w:after="0"/>
        <w:ind w:left="0"/>
        <w:jc w:val="both"/>
      </w:pPr>
      <w:r>
        <w:rPr>
          <w:rFonts w:ascii="Times New Roman"/>
          <w:b w:val="false"/>
          <w:i w:val="false"/>
          <w:color w:val="000000"/>
          <w:sz w:val="28"/>
        </w:rPr>
        <w:t>
      Контроль за ростом бюджетных расходов. Темп роста расходов РБ будет ограничиваться на уровне долгосрочного экономического роста, увеличенного на целевой ориентир по инфляции. В результате объем расходов не будет опережать темпы роста реального ВВП и инфляции и будет ограничен в период экономического роста. В целях повышения эффективности расходов бюджета предусмотрено постепенное сокращение финансирования программ поддержки, влекущих за собой искажение рыночных цен и негативно влияющих на развитие частного сектора. Расходы планируется направить в приоритетные отрасли, приносящие максимальную экономическую отдачу. Государство будет стимулировать инвестиционную активность частного сектора, не замещая частные инвестиции.</w:t>
      </w:r>
    </w:p>
    <w:bookmarkEnd w:id="819"/>
    <w:bookmarkStart w:name="z869" w:id="820"/>
    <w:p>
      <w:pPr>
        <w:spacing w:after="0"/>
        <w:ind w:left="0"/>
        <w:jc w:val="both"/>
      </w:pPr>
      <w:r>
        <w:rPr>
          <w:rFonts w:ascii="Times New Roman"/>
          <w:b w:val="false"/>
          <w:i w:val="false"/>
          <w:color w:val="000000"/>
          <w:sz w:val="28"/>
        </w:rPr>
        <w:t>
      Совершенствование политики управления государственным долгом. Политика управления государственным долгом будет направлена на снижение валютных рисков, ограничение роста долговой нагрузки на бюджет, недопущение дефолтов, а также повышение эффективности и дисциплины использования внешних заимствований. При этом определено, что в целях поддержания долговой устойчивости в 2029 году государственный долг не должен превышать 30,8% ВВП.</w:t>
      </w:r>
    </w:p>
    <w:bookmarkEnd w:id="820"/>
    <w:bookmarkStart w:name="z870" w:id="821"/>
    <w:p>
      <w:pPr>
        <w:spacing w:after="0"/>
        <w:ind w:left="0"/>
        <w:jc w:val="both"/>
      </w:pPr>
      <w:r>
        <w:rPr>
          <w:rFonts w:ascii="Times New Roman"/>
          <w:b w:val="false"/>
          <w:i w:val="false"/>
          <w:color w:val="000000"/>
          <w:sz w:val="28"/>
        </w:rPr>
        <w:t>
      Совершенствование политики межбюджетных отношений. В рамках реформирования межбюджетных отношений будет усилен акцент на повышении финансовой самостоятельности местных исполнительных органов. Предусмотрена проработка подходов по передаче отдельных видов налоговых поступлений на местный уровень, минимизации встречных трансфертов между республиканским и местными бюджетами, снижению межрегиональных диспропорций с учетом потребностей населения. В результате для местных исполнительных органов появится дополнительный стимул к развитию экономики регионов и увеличению доходов местных бюджетов с постепенным снижением зависимости от РБ.</w:t>
      </w:r>
    </w:p>
    <w:bookmarkEnd w:id="821"/>
    <w:bookmarkStart w:name="z871" w:id="82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Укрепление доходной части бюджета для обеспечения устойчивых государственных финансов</w:t>
      </w:r>
    </w:p>
    <w:bookmarkEnd w:id="822"/>
    <w:bookmarkStart w:name="z872" w:id="823"/>
    <w:p>
      <w:pPr>
        <w:spacing w:after="0"/>
        <w:ind w:left="0"/>
        <w:jc w:val="both"/>
      </w:pPr>
      <w:r>
        <w:rPr>
          <w:rFonts w:ascii="Times New Roman"/>
          <w:b w:val="false"/>
          <w:i w:val="false"/>
          <w:color w:val="000000"/>
          <w:sz w:val="28"/>
        </w:rPr>
        <w:t>
      Налоговая политика должна обеспечивать баланс между созданием комфортных условий для инвесторов и обеспечением поддержания необходимого уровня поступлений в бюджет. В рамках Налогового кодекса планируется внедрение новой системы налогообложения прибыли и имущества, стимулирования реинвестирования полученных доходов в развитие бизнеса, а также оптимизации налоговых режимов. Кроме того, контуры обновленного налогового законодательства будут ориентированы на повышение эффективности налогового администрирования и совершенствование механизма налоговых льгот.</w:t>
      </w:r>
    </w:p>
    <w:bookmarkEnd w:id="823"/>
    <w:bookmarkStart w:name="z873" w:id="824"/>
    <w:p>
      <w:pPr>
        <w:spacing w:after="0"/>
        <w:ind w:left="0"/>
        <w:jc w:val="both"/>
      </w:pPr>
      <w:r>
        <w:rPr>
          <w:rFonts w:ascii="Times New Roman"/>
          <w:b w:val="false"/>
          <w:i w:val="false"/>
          <w:color w:val="000000"/>
          <w:sz w:val="28"/>
        </w:rPr>
        <w:t>
      Повышение эффективности налогового администрирования. Основные задачи включают внедрение интегрированной системы налогового администрирования, применение цифровых инструментов по всей цепочке налогового администрирования, а также комплексной системы управления рисками.</w:t>
      </w:r>
    </w:p>
    <w:bookmarkEnd w:id="824"/>
    <w:bookmarkStart w:name="z874" w:id="825"/>
    <w:p>
      <w:pPr>
        <w:spacing w:after="0"/>
        <w:ind w:left="0"/>
        <w:jc w:val="both"/>
      </w:pPr>
      <w:r>
        <w:rPr>
          <w:rFonts w:ascii="Times New Roman"/>
          <w:b w:val="false"/>
          <w:i w:val="false"/>
          <w:color w:val="000000"/>
          <w:sz w:val="28"/>
        </w:rPr>
        <w:t>
      В этой связи необходимо разработать план последовательного перехода на интегрированную систему администрирования на основе подхода "Налоговое администрирование 3.0", обеспечивающего интеграцию в естественные системы и ежедневную жизнь налогоплательщиков в режиме реального времени. Для этого будет проведена интеграция с другими государственными органами и функциями, а также с частными субъектами.</w:t>
      </w:r>
    </w:p>
    <w:bookmarkEnd w:id="825"/>
    <w:bookmarkStart w:name="z875" w:id="826"/>
    <w:p>
      <w:pPr>
        <w:spacing w:after="0"/>
        <w:ind w:left="0"/>
        <w:jc w:val="both"/>
      </w:pPr>
      <w:r>
        <w:rPr>
          <w:rFonts w:ascii="Times New Roman"/>
          <w:b w:val="false"/>
          <w:i w:val="false"/>
          <w:color w:val="000000"/>
          <w:sz w:val="28"/>
        </w:rPr>
        <w:t>
      Наряду с этим одной из ключевых задач налогового органа станет клиентоориентированность. Налоговое администрирование выступит двигателем цифровой трансформации за счет внедрения интеграции с государственными органами и частными организациями, а также разработки и совершенствования новых алгоритмов и моделей.</w:t>
      </w:r>
    </w:p>
    <w:bookmarkEnd w:id="826"/>
    <w:bookmarkStart w:name="z876" w:id="827"/>
    <w:p>
      <w:pPr>
        <w:spacing w:after="0"/>
        <w:ind w:left="0"/>
        <w:jc w:val="both"/>
      </w:pPr>
      <w:r>
        <w:rPr>
          <w:rFonts w:ascii="Times New Roman"/>
          <w:b w:val="false"/>
          <w:i w:val="false"/>
          <w:color w:val="000000"/>
          <w:sz w:val="28"/>
        </w:rPr>
        <w:t>
      Планируется применение комплексной СУР, предполагающей наличие систематизированного подхода к выявлению, оценке, определению приоритетности и снижению рисков. Помимо отбора кейсов для проверок, СУР будет включать управление рисками несоблюдения норм (регистрация в налоговой системе, подача налоговых деклараций, оплата налогов в установленный срок, предоставление полной и достоверной информации в декларациях), а также управление операционными и кадровыми рисками.</w:t>
      </w:r>
    </w:p>
    <w:bookmarkEnd w:id="827"/>
    <w:bookmarkStart w:name="z877" w:id="828"/>
    <w:p>
      <w:pPr>
        <w:spacing w:after="0"/>
        <w:ind w:left="0"/>
        <w:jc w:val="both"/>
      </w:pPr>
      <w:r>
        <w:rPr>
          <w:rFonts w:ascii="Times New Roman"/>
          <w:b w:val="false"/>
          <w:i w:val="false"/>
          <w:color w:val="000000"/>
          <w:sz w:val="28"/>
        </w:rPr>
        <w:t>
      Совершенствование политики налоговых льгот. В целях повышения налоговых поступлений и укрепления доходной базы бюджета предусмотрены анализ и оптимизация налоговых льгот с учетом их эффективности и встречных обязательств налогоплательщиков.</w:t>
      </w:r>
    </w:p>
    <w:bookmarkEnd w:id="828"/>
    <w:bookmarkStart w:name="z878" w:id="829"/>
    <w:p>
      <w:pPr>
        <w:spacing w:after="0"/>
        <w:ind w:left="0"/>
        <w:jc w:val="both"/>
      </w:pPr>
      <w:r>
        <w:rPr>
          <w:rFonts w:ascii="Times New Roman"/>
          <w:b w:val="false"/>
          <w:i w:val="false"/>
          <w:color w:val="000000"/>
          <w:sz w:val="28"/>
        </w:rPr>
        <w:t>
      Механизм налоговых послаблений будет ориентирован на стимулирование реинвестирования полученных доходов в развитие бизнеса. Предусмотрено повышение эффективности специальных налоговых режимов с фокусом на минимизацию возможностей для уклонения от уплаты налогов. Кроме того, планируется выработка механизмов по недопущению намеренного дробления организаций с целью снижения налоговой нагрузки.</w:t>
      </w:r>
    </w:p>
    <w:bookmarkEnd w:id="829"/>
    <w:p>
      <w:pPr>
        <w:spacing w:after="0"/>
        <w:ind w:left="0"/>
        <w:jc w:val="both"/>
      </w:pPr>
      <w:r>
        <w:rPr>
          <w:rFonts w:ascii="Times New Roman"/>
          <w:b/>
          <w:i w:val="false"/>
          <w:color w:val="000000"/>
          <w:sz w:val="28"/>
        </w:rPr>
        <w:t>4.5. ОБЕСПЕЧЕНИЕ ВЕРХОВЕНСТВА ПРАВА И ПОВЫШЕНИЕ ЭФФЕКТИВНОСТИ ГОСУДАРСТВЕННОГО УПРАВЛЕНИЯ</w:t>
      </w:r>
    </w:p>
    <w:bookmarkStart w:name="z880" w:id="83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830"/>
    <w:bookmarkStart w:name="z881" w:id="831"/>
    <w:p>
      <w:pPr>
        <w:spacing w:after="0"/>
        <w:ind w:left="0"/>
        <w:jc w:val="both"/>
      </w:pPr>
      <w:r>
        <w:rPr>
          <w:rFonts w:ascii="Times New Roman"/>
          <w:b w:val="false"/>
          <w:i w:val="false"/>
          <w:color w:val="000000"/>
          <w:sz w:val="28"/>
        </w:rPr>
        <w:t>
      Верховенство права является необходимым фундаментом экономического развития и инвестиционной привлекательности страны. От эффективности государственного управления зависит возможность проведения реформ и реализация государственной политики во всех сферах экономики и общества.</w:t>
      </w:r>
    </w:p>
    <w:bookmarkEnd w:id="831"/>
    <w:bookmarkStart w:name="z882" w:id="832"/>
    <w:p>
      <w:pPr>
        <w:spacing w:after="0"/>
        <w:ind w:left="0"/>
        <w:jc w:val="both"/>
      </w:pPr>
      <w:r>
        <w:rPr>
          <w:rFonts w:ascii="Times New Roman"/>
          <w:b w:val="false"/>
          <w:i w:val="false"/>
          <w:color w:val="000000"/>
          <w:sz w:val="28"/>
        </w:rPr>
        <w:t>
      Казахстан последовательно укрепляет позиции в обоих направлениях. За последние 10 лет был принят ряд мер по модернизации казахстанской правовой системы, включая расширение полномочий Парламента Республики Казахстан и Правительства, повышение независимости судебной ветви власти, систематизацию и повышение прозрачности отраслевого регулирования и условий предпринимательства. Начато внедрение инициатив "Открытого правительства" и формирование компактного, профессионального государственного аппарата. Продолжена работа по децентрализации государственного управления.</w:t>
      </w:r>
    </w:p>
    <w:bookmarkEnd w:id="832"/>
    <w:bookmarkStart w:name="z883" w:id="833"/>
    <w:p>
      <w:pPr>
        <w:spacing w:after="0"/>
        <w:ind w:left="0"/>
        <w:jc w:val="both"/>
      </w:pPr>
      <w:r>
        <w:rPr>
          <w:rFonts w:ascii="Times New Roman"/>
          <w:b w:val="false"/>
          <w:i w:val="false"/>
          <w:color w:val="000000"/>
          <w:sz w:val="28"/>
        </w:rPr>
        <w:t>
      Достигнутые успехи отразились в улучшении позиций Казахстана в международных рейтингах. За 10 лет страна поднялась на 20 позиций по показателю верховенства права Всемирного банка и в 2022 году</w:t>
      </w:r>
      <w:r>
        <w:rPr>
          <w:rFonts w:ascii="Times New Roman"/>
          <w:b w:val="false"/>
          <w:i w:val="false"/>
          <w:color w:val="000000"/>
          <w:vertAlign w:val="superscript"/>
        </w:rPr>
        <w:t>36</w:t>
      </w:r>
      <w:r>
        <w:rPr>
          <w:rFonts w:ascii="Times New Roman"/>
          <w:b w:val="false"/>
          <w:i w:val="false"/>
          <w:color w:val="000000"/>
          <w:sz w:val="28"/>
        </w:rPr>
        <w:t xml:space="preserve"> заняла 137 место из 213. По индексу верховенства права World Justice Project в 2022 году Казахстан занял 65 место из 142, набрав 0,53 балла по шкале от 0 до 1. За период с 2018 по 2022 год показатель эффективности Правительства страны в рейтинге Всемирного банка колебался в пределах от 0 до 0,1 по шкале от -2,5 до 2,5. В 2022 году Казахстан занял 89-е место среди 213 стран</w:t>
      </w:r>
      <w:r>
        <w:rPr>
          <w:rFonts w:ascii="Times New Roman"/>
          <w:b w:val="false"/>
          <w:i w:val="false"/>
          <w:color w:val="000000"/>
          <w:vertAlign w:val="superscript"/>
        </w:rPr>
        <w:t>37</w:t>
      </w:r>
      <w:r>
        <w:rPr>
          <w:rFonts w:ascii="Times New Roman"/>
          <w:b w:val="false"/>
          <w:i w:val="false"/>
          <w:color w:val="000000"/>
          <w:sz w:val="28"/>
        </w:rPr>
        <w:t>.</w:t>
      </w:r>
    </w:p>
    <w:bookmarkEnd w:id="833"/>
    <w:bookmarkStart w:name="z884" w:id="834"/>
    <w:p>
      <w:pPr>
        <w:spacing w:after="0"/>
        <w:ind w:left="0"/>
        <w:jc w:val="both"/>
      </w:pPr>
      <w:r>
        <w:rPr>
          <w:rFonts w:ascii="Times New Roman"/>
          <w:b w:val="false"/>
          <w:i w:val="false"/>
          <w:color w:val="000000"/>
          <w:sz w:val="28"/>
        </w:rPr>
        <w:t>
      Несколько групп ключевых вызовов и возможностей определяют условия для дальнейшего укрепления верховенства права и повышения эффективности государственного управления: сохранение фокуса на выполнении функций государственных органов, незавершенный переход на сервисную модель оказания государственных услуг, нехватка профессиональных компетенций государственных служащих, проявления коррупции.</w:t>
      </w:r>
    </w:p>
    <w:bookmarkEnd w:id="834"/>
    <w:bookmarkStart w:name="z885" w:id="835"/>
    <w:p>
      <w:pPr>
        <w:spacing w:after="0"/>
        <w:ind w:left="0"/>
        <w:jc w:val="both"/>
      </w:pPr>
      <w:r>
        <w:rPr>
          <w:rFonts w:ascii="Times New Roman"/>
          <w:b w:val="false"/>
          <w:i w:val="false"/>
          <w:color w:val="000000"/>
          <w:sz w:val="28"/>
        </w:rPr>
        <w:t>
      Незавершенный переход на сервисную модель</w:t>
      </w:r>
    </w:p>
    <w:bookmarkEnd w:id="835"/>
    <w:bookmarkStart w:name="z886" w:id="836"/>
    <w:p>
      <w:pPr>
        <w:spacing w:after="0"/>
        <w:ind w:left="0"/>
        <w:jc w:val="both"/>
      </w:pPr>
      <w:r>
        <w:rPr>
          <w:rFonts w:ascii="Times New Roman"/>
          <w:b w:val="false"/>
          <w:i w:val="false"/>
          <w:color w:val="000000"/>
          <w:sz w:val="28"/>
        </w:rPr>
        <w:t>
      С 2018 года в стране осуществляется переход на сервисную модель, а в 2021 году была принята Концепция развития государственного управления в Республике Казахстан до 2030 года, в соответствии с которой был взят курс на полноценный переход государственного аппарата на сервисные и ориентированные на клиента процессы. При этом международный опыт свидетельствует, что переход на сервисную модель может занимать десятилетия</w:t>
      </w:r>
      <w:r>
        <w:rPr>
          <w:rFonts w:ascii="Times New Roman"/>
          <w:b w:val="false"/>
          <w:i w:val="false"/>
          <w:color w:val="000000"/>
          <w:vertAlign w:val="superscript"/>
        </w:rPr>
        <w:t>38</w:t>
      </w:r>
      <w:r>
        <w:rPr>
          <w:rFonts w:ascii="Times New Roman"/>
          <w:b w:val="false"/>
          <w:i w:val="false"/>
          <w:color w:val="000000"/>
          <w:sz w:val="28"/>
        </w:rPr>
        <w:t>.</w:t>
      </w:r>
    </w:p>
    <w:bookmarkEnd w:id="836"/>
    <w:bookmarkStart w:name="z887" w:id="837"/>
    <w:p>
      <w:pPr>
        <w:spacing w:after="0"/>
        <w:ind w:left="0"/>
        <w:jc w:val="both"/>
      </w:pPr>
      <w:r>
        <w:rPr>
          <w:rFonts w:ascii="Times New Roman"/>
          <w:b w:val="false"/>
          <w:i w:val="false"/>
          <w:color w:val="000000"/>
          <w:sz w:val="28"/>
        </w:rPr>
        <w:t>
      Казахстан достиг первых успехов в переходе на сервисную модель государственного управления, однако значительная часть потенциала остается нераскрытой. К примеру, в 2022 году 40 государственных услуг из 1,4 тыс. оказывались проактивно и не требовали подачи заявления со стороны гражданина. Однако, во многих учреждениях все еще сохраняется административный, формальный подход к оказанию услуг. Реестр услуг преимущественно формируется вокруг функций государственных органов вместо жизненных ситуаций, определяющих реальные потребности граждан и бизнеса. Более 90% услуг являются слабовостребованными</w:t>
      </w:r>
      <w:r>
        <w:rPr>
          <w:rFonts w:ascii="Times New Roman"/>
          <w:b w:val="false"/>
          <w:i w:val="false"/>
          <w:color w:val="000000"/>
          <w:vertAlign w:val="superscript"/>
        </w:rPr>
        <w:t>39</w:t>
      </w:r>
      <w:r>
        <w:rPr>
          <w:rFonts w:ascii="Times New Roman"/>
          <w:b w:val="false"/>
          <w:i w:val="false"/>
          <w:color w:val="000000"/>
          <w:sz w:val="28"/>
        </w:rPr>
        <w:t xml:space="preserve"> из-за процедур получения, ориентированных на бюрократический процесс, а не удобство граждан. Так, отмечается получение государственных услуг ради других государственных услуг или предоставления подтверждающих документов. Взаимодействие граждан, бизнеса и государства не всегда носит "бесшовный" характер: различается доступный перечень услуг, шагов для их выполнения и возможности отслеживания статуса исполнения через разные каналы.</w:t>
      </w:r>
    </w:p>
    <w:bookmarkEnd w:id="837"/>
    <w:p>
      <w:pPr>
        <w:spacing w:after="0"/>
        <w:ind w:left="0"/>
        <w:jc w:val="both"/>
      </w:pPr>
      <w:bookmarkStart w:name="z888" w:id="838"/>
      <w:r>
        <w:rPr>
          <w:rFonts w:ascii="Times New Roman"/>
          <w:b w:val="false"/>
          <w:i w:val="false"/>
          <w:color w:val="000000"/>
          <w:sz w:val="28"/>
        </w:rPr>
        <w:t>
      ______________________________________</w:t>
      </w:r>
    </w:p>
    <w:bookmarkEnd w:id="838"/>
    <w:p>
      <w:pPr>
        <w:spacing w:after="0"/>
        <w:ind w:left="0"/>
        <w:jc w:val="both"/>
      </w:pPr>
      <w:r>
        <w:rPr>
          <w:rFonts w:ascii="Times New Roman"/>
          <w:b w:val="false"/>
          <w:i w:val="false"/>
          <w:color w:val="000000"/>
          <w:vertAlign w:val="superscript"/>
        </w:rPr>
        <w:t>36</w:t>
      </w:r>
      <w:r>
        <w:rPr>
          <w:rFonts w:ascii="Times New Roman"/>
          <w:b w:val="false"/>
          <w:i w:val="false"/>
          <w:color w:val="000000"/>
          <w:sz w:val="28"/>
        </w:rPr>
        <w:t xml:space="preserve"> Показатель Rule of Law Всемирного банка за 2012 и 2022 годы.</w:t>
      </w:r>
    </w:p>
    <w:bookmarkStart w:name="z889"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Показатель Government Effectiveness Всемирного банка за 2012 и 2022 годы.</w:t>
      </w:r>
    </w:p>
    <w:bookmarkEnd w:id="839"/>
    <w:bookmarkStart w:name="z890" w:id="8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8</w:t>
      </w:r>
      <w:r>
        <w:rPr>
          <w:rFonts w:ascii="Times New Roman"/>
          <w:b w:val="false"/>
          <w:i w:val="false"/>
          <w:color w:val="000000"/>
          <w:sz w:val="28"/>
        </w:rPr>
        <w:t xml:space="preserve"> Например, переход к сервисной модели полиции начался в Канаде в 1990-е годы, но широкое распространение получил в 2000-е годы при внедрении обновленных стратегий работы в провинциях.</w:t>
      </w:r>
    </w:p>
    <w:bookmarkEnd w:id="8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1" w:id="841"/>
    <w:p>
      <w:pPr>
        <w:spacing w:after="0"/>
        <w:ind w:left="0"/>
        <w:jc w:val="both"/>
      </w:pPr>
      <w:r>
        <w:rPr>
          <w:rFonts w:ascii="Times New Roman"/>
          <w:b w:val="false"/>
          <w:i w:val="false"/>
          <w:color w:val="000000"/>
          <w:sz w:val="28"/>
        </w:rPr>
        <w:t>
      Приоритеты развития до 2029 года</w:t>
      </w:r>
    </w:p>
    <w:bookmarkEnd w:id="841"/>
    <w:bookmarkStart w:name="z892" w:id="842"/>
    <w:p>
      <w:pPr>
        <w:spacing w:after="0"/>
        <w:ind w:left="0"/>
        <w:jc w:val="both"/>
      </w:pPr>
      <w:r>
        <w:rPr>
          <w:rFonts w:ascii="Times New Roman"/>
          <w:b w:val="false"/>
          <w:i w:val="false"/>
          <w:color w:val="000000"/>
          <w:sz w:val="28"/>
        </w:rPr>
        <w:t>
      Целью укрепления верховенства права и повышения эффективности государственного управления станет обеспечение условий "нового общественного договора". Будет усилено соблюдение прав и свобод граждан и бизнеса, повысится качество исполнения государственных решений. Кроме того, предусмотрено развитие возможностей участия граждан и бизнес- компаний в двустороннем диалоге с государством.</w:t>
      </w:r>
    </w:p>
    <w:bookmarkEnd w:id="842"/>
    <w:bookmarkStart w:name="z893" w:id="843"/>
    <w:p>
      <w:pPr>
        <w:spacing w:after="0"/>
        <w:ind w:left="0"/>
        <w:jc w:val="both"/>
      </w:pPr>
      <w:r>
        <w:rPr>
          <w:rFonts w:ascii="Times New Roman"/>
          <w:b w:val="false"/>
          <w:i w:val="false"/>
          <w:color w:val="000000"/>
          <w:sz w:val="28"/>
        </w:rPr>
        <w:t>
      Результатом усиления верховенства права станет достижение значения 0,60 в индексе верховенства права от World Justice Project к 2029 году. Прогресс будет обеспечен за счет улучшения качества правосудия и продолжения реформы правоохранительных органов.</w:t>
      </w:r>
    </w:p>
    <w:bookmarkEnd w:id="843"/>
    <w:bookmarkStart w:name="z894" w:id="844"/>
    <w:p>
      <w:pPr>
        <w:spacing w:after="0"/>
        <w:ind w:left="0"/>
        <w:jc w:val="both"/>
      </w:pPr>
      <w:r>
        <w:rPr>
          <w:rFonts w:ascii="Times New Roman"/>
          <w:b w:val="false"/>
          <w:i w:val="false"/>
          <w:color w:val="000000"/>
          <w:sz w:val="28"/>
        </w:rPr>
        <w:t>
      Повышение эффективности государственного управления отразится на достижении значения не ниже 80 перцентиля или 1,0 по шкале от -2,5 до 2,5 в индексе государственного управления Всемирного банка к 2029 году.</w:t>
      </w:r>
    </w:p>
    <w:bookmarkEnd w:id="844"/>
    <w:bookmarkStart w:name="z895" w:id="845"/>
    <w:p>
      <w:pPr>
        <w:spacing w:after="0"/>
        <w:ind w:left="0"/>
        <w:jc w:val="both"/>
      </w:pPr>
      <w:r>
        <w:rPr>
          <w:rFonts w:ascii="Times New Roman"/>
          <w:b w:val="false"/>
          <w:i w:val="false"/>
          <w:color w:val="000000"/>
          <w:sz w:val="28"/>
        </w:rPr>
        <w:t>
      Основными приоритетами станет повышение эффективности оказания государственных услуг и работы государственных органов, а также повышение эффективности управления персоналом. Приоритет по снижению коррупции окажет кумулятивный эффект на укрепление верховенства права и эффективность государственного управления.</w:t>
      </w:r>
    </w:p>
    <w:bookmarkEnd w:id="845"/>
    <w:bookmarkStart w:name="z896" w:id="84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Улучшение качества правосудия и продолжение реформы правоохранительных органов</w:t>
      </w:r>
    </w:p>
    <w:bookmarkEnd w:id="846"/>
    <w:bookmarkStart w:name="z897" w:id="847"/>
    <w:p>
      <w:pPr>
        <w:spacing w:after="0"/>
        <w:ind w:left="0"/>
        <w:jc w:val="both"/>
      </w:pPr>
      <w:r>
        <w:rPr>
          <w:rFonts w:ascii="Times New Roman"/>
          <w:b w:val="false"/>
          <w:i w:val="false"/>
          <w:color w:val="000000"/>
          <w:sz w:val="28"/>
        </w:rPr>
        <w:t>
      Ключевой целью развития системы правосудия станет повышение качества отправления правосудия при сокращении времени на судопроизводство. Реформирование правоохранительных органов будет направлено на повышение эффективности их работы и увеличение доверия со стороны населения: к 2029 году уровень доверия населения судебной системе увеличится до 58%, а уровень доверия правоохранительным органам - до 72%. Основными задачами определены укрепление независимости судебной системы, дебюрократизация судебного процесса, совершенствование судебного администрирования, повышение профессионализма судейского корпуса и дальнейшая переориентация работы правоохранительных органов на профилактику правонарушений и повышение доверия населения.</w:t>
      </w:r>
    </w:p>
    <w:bookmarkEnd w:id="847"/>
    <w:p>
      <w:pPr>
        <w:spacing w:after="0"/>
        <w:ind w:left="0"/>
        <w:jc w:val="both"/>
      </w:pPr>
      <w:bookmarkStart w:name="z898" w:id="848"/>
      <w:r>
        <w:rPr>
          <w:rFonts w:ascii="Times New Roman"/>
          <w:b w:val="false"/>
          <w:i w:val="false"/>
          <w:color w:val="000000"/>
          <w:sz w:val="28"/>
        </w:rPr>
        <w:t>
      ____________________________________________</w:t>
      </w:r>
    </w:p>
    <w:bookmarkEnd w:id="848"/>
    <w:p>
      <w:pPr>
        <w:spacing w:after="0"/>
        <w:ind w:left="0"/>
        <w:jc w:val="both"/>
      </w:pPr>
      <w:r>
        <w:rPr>
          <w:rFonts w:ascii="Times New Roman"/>
          <w:b w:val="false"/>
          <w:i w:val="false"/>
          <w:color w:val="000000"/>
          <w:vertAlign w:val="superscript"/>
        </w:rPr>
        <w:t>39</w:t>
      </w:r>
      <w:r>
        <w:rPr>
          <w:rFonts w:ascii="Times New Roman"/>
          <w:b w:val="false"/>
          <w:i w:val="false"/>
          <w:color w:val="000000"/>
          <w:sz w:val="28"/>
        </w:rPr>
        <w:t xml:space="preserve"> Согласно приказу МЦРИАП от 31.01.2020 г. № 39/НК.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9" w:id="849"/>
    <w:p>
      <w:pPr>
        <w:spacing w:after="0"/>
        <w:ind w:left="0"/>
        <w:jc w:val="both"/>
      </w:pPr>
      <w:r>
        <w:rPr>
          <w:rFonts w:ascii="Times New Roman"/>
          <w:b w:val="false"/>
          <w:i w:val="false"/>
          <w:color w:val="000000"/>
          <w:sz w:val="28"/>
        </w:rPr>
        <w:t>
      Независимость судебной власти является основой доверия граждан, бизнеса и инвесторов к судебной системе. Уже проведена значительная работа по обеспечению независимости и справедливого правосудия через гарантированный минимальный размер бюджета судебной системы и его самостоятельное распределение. Дальнейшее укрепление судебной независимости будет развиваться посредством снижения влияния на суды законодательной и исполнительной власти.</w:t>
      </w:r>
    </w:p>
    <w:bookmarkEnd w:id="849"/>
    <w:bookmarkStart w:name="z900" w:id="850"/>
    <w:p>
      <w:pPr>
        <w:spacing w:after="0"/>
        <w:ind w:left="0"/>
        <w:jc w:val="both"/>
      </w:pPr>
      <w:r>
        <w:rPr>
          <w:rFonts w:ascii="Times New Roman"/>
          <w:b w:val="false"/>
          <w:i w:val="false"/>
          <w:color w:val="000000"/>
          <w:sz w:val="28"/>
        </w:rPr>
        <w:t>
      Основными направлениями дальнейшего развития судопроизводства станут гармонизация роли и основ функционирования всех судебных инстанций, усиление активной роли суда в гражданском судопроизводстве, обеспечение реальной состязательности и равноправия сторон в главном судебном разбирательстве, расширение полномочий следственных судей в уголовном процессе, а также развитие альтернативных способов урегулирования споров.</w:t>
      </w:r>
    </w:p>
    <w:bookmarkEnd w:id="850"/>
    <w:bookmarkStart w:name="z901" w:id="851"/>
    <w:p>
      <w:pPr>
        <w:spacing w:after="0"/>
        <w:ind w:left="0"/>
        <w:jc w:val="both"/>
      </w:pPr>
      <w:r>
        <w:rPr>
          <w:rFonts w:ascii="Times New Roman"/>
          <w:b w:val="false"/>
          <w:i w:val="false"/>
          <w:color w:val="000000"/>
          <w:sz w:val="28"/>
        </w:rPr>
        <w:t>
      Внедрение цифровых технологий и развитие электронного правосудия повысят скорость принятия решений, создадут условия для формирования единообразной судебной практики.</w:t>
      </w:r>
    </w:p>
    <w:bookmarkEnd w:id="851"/>
    <w:bookmarkStart w:name="z902" w:id="852"/>
    <w:p>
      <w:pPr>
        <w:spacing w:after="0"/>
        <w:ind w:left="0"/>
        <w:jc w:val="both"/>
      </w:pPr>
      <w:r>
        <w:rPr>
          <w:rFonts w:ascii="Times New Roman"/>
          <w:b w:val="false"/>
          <w:i w:val="false"/>
          <w:color w:val="000000"/>
          <w:sz w:val="28"/>
        </w:rPr>
        <w:t>
      Профессионализация судейского корпуса повысит качество отправления правосудия и будет производиться за счет улучшения качества отбора кандидатов с учетом лучших мировых практик. Для расширения набора компетенций судейского корпуса продолжится практика рекрутирования высококвалифицированных специалистов в отдельных отраслях права. В рамках нового статуса Академии правосудия при Верховном Суде Республики Казахстан для повышения квалификации действующих судей будут организованы программы дополнительного обучения.</w:t>
      </w:r>
    </w:p>
    <w:bookmarkEnd w:id="852"/>
    <w:bookmarkStart w:name="z903" w:id="853"/>
    <w:p>
      <w:pPr>
        <w:spacing w:after="0"/>
        <w:ind w:left="0"/>
        <w:jc w:val="both"/>
      </w:pPr>
      <w:r>
        <w:rPr>
          <w:rFonts w:ascii="Times New Roman"/>
          <w:b w:val="false"/>
          <w:i w:val="false"/>
          <w:color w:val="000000"/>
          <w:sz w:val="28"/>
        </w:rPr>
        <w:t>
      Дальнейшая реализация реформы правоохранительных органов позволит завершить переориентацию работы правоохранителей на удовлетворение потребностей населения и повысить уровень защищенности и спокойствия в обществе. Основной задачей станет усиление акцента в работе правоохранительных органов на профилактику и предупреждение правонарушений.</w:t>
      </w:r>
    </w:p>
    <w:bookmarkEnd w:id="853"/>
    <w:bookmarkStart w:name="z904" w:id="854"/>
    <w:p>
      <w:pPr>
        <w:spacing w:after="0"/>
        <w:ind w:left="0"/>
        <w:jc w:val="both"/>
      </w:pPr>
      <w:r>
        <w:rPr>
          <w:rFonts w:ascii="Times New Roman"/>
          <w:b w:val="false"/>
          <w:i w:val="false"/>
          <w:color w:val="000000"/>
          <w:sz w:val="28"/>
        </w:rPr>
        <w:t>
      Будет разработан новый закон о профилактике правонарушений, в рамках которого планируется кардинально пересмотреть компетенции правоохранительных органов, механизмы координации и инструменты индивидуальной профилактики. Продолжится укрепление гарантий прокурорской деятельности с учетом международных стандартов в области независимости прокуратуры.</w:t>
      </w:r>
    </w:p>
    <w:bookmarkEnd w:id="854"/>
    <w:bookmarkStart w:name="z905" w:id="855"/>
    <w:p>
      <w:pPr>
        <w:spacing w:after="0"/>
        <w:ind w:left="0"/>
        <w:jc w:val="both"/>
      </w:pPr>
      <w:r>
        <w:rPr>
          <w:rFonts w:ascii="Times New Roman"/>
          <w:b w:val="false"/>
          <w:i w:val="false"/>
          <w:color w:val="000000"/>
          <w:sz w:val="28"/>
        </w:rPr>
        <w:t>
      Предусмотрена дальнейшая переориентация национальной модели полиции на сервисную модель через проактивную работу с населением и изменение системы мотивации сотрудников. Приоритет будет отдан решению вопросов с учетом мнения жителей, проживающих на конкретной территории. Кроме того, планируется повышение доверия и уважения населения в структуре мотивации и при карьерном продвижении сотрудников.</w:t>
      </w:r>
    </w:p>
    <w:bookmarkEnd w:id="855"/>
    <w:bookmarkStart w:name="z906" w:id="856"/>
    <w:p>
      <w:pPr>
        <w:spacing w:after="0"/>
        <w:ind w:left="0"/>
        <w:jc w:val="both"/>
      </w:pPr>
      <w:r>
        <w:rPr>
          <w:rFonts w:ascii="Times New Roman"/>
          <w:b w:val="false"/>
          <w:i w:val="false"/>
          <w:color w:val="000000"/>
          <w:sz w:val="28"/>
        </w:rPr>
        <w:t>
      Работа по деконцентрации экономических ресурсов и возврату активов положительно скажется на более равномерном распределении богатства страны и снижению социального неравенства. В перспективе это может способствовать устойчивому развитию предпринимательства, созданию благоприятных условий для разнообразия экономических субъектов, развитию полезных социально- экономических проектов, улучшению инвестиционного климата страны и привлечению новых инвестиций. Данные меры также отразятся на снижении уровня коррупции. Более справедливое распределение государством возвращенного капитала уменьшит формирование монополий и олигархических структур.</w:t>
      </w:r>
    </w:p>
    <w:bookmarkEnd w:id="856"/>
    <w:bookmarkStart w:name="z907" w:id="8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оказания государственных услуг и работы государственных органов</w:t>
      </w:r>
    </w:p>
    <w:bookmarkEnd w:id="857"/>
    <w:bookmarkStart w:name="z908" w:id="858"/>
    <w:p>
      <w:pPr>
        <w:spacing w:after="0"/>
        <w:ind w:left="0"/>
        <w:jc w:val="both"/>
      </w:pPr>
      <w:r>
        <w:rPr>
          <w:rFonts w:ascii="Times New Roman"/>
          <w:b w:val="false"/>
          <w:i w:val="false"/>
          <w:color w:val="000000"/>
          <w:sz w:val="28"/>
        </w:rPr>
        <w:t>
      Ключевой целью данного направления станет переориентация процессов оказания государственных услуг на максимальное удовлетворение потребностей граждан и бизнеса в рамках формирования сервисной модели, повышение эффективности принятия государственных решений и обеспечение условий для реализации "нового общественного договора", в рамках которого граждане будут вовлекаться в управление государством. Будет завершена оцифровка всех бизнес-процессов государственных органов. Еще одним результатом работы к 2029 году станет рост стабильности законов.</w:t>
      </w:r>
    </w:p>
    <w:bookmarkEnd w:id="858"/>
    <w:bookmarkStart w:name="z909" w:id="859"/>
    <w:p>
      <w:pPr>
        <w:spacing w:after="0"/>
        <w:ind w:left="0"/>
        <w:jc w:val="both"/>
      </w:pPr>
      <w:r>
        <w:rPr>
          <w:rFonts w:ascii="Times New Roman"/>
          <w:b w:val="false"/>
          <w:i w:val="false"/>
          <w:color w:val="000000"/>
          <w:sz w:val="28"/>
        </w:rPr>
        <w:t>
      В этой связи основными задачами определены дальнейшее развитие сервисной модели, совершенствование системы планирования, модернизация принципов и структуры работы государственного аппарата, повышение открытости Правительства и вовлечение граждан в двусторонний диалог, а также внедрение передовых цифровых технологий.</w:t>
      </w:r>
    </w:p>
    <w:bookmarkEnd w:id="859"/>
    <w:bookmarkStart w:name="z910" w:id="860"/>
    <w:p>
      <w:pPr>
        <w:spacing w:after="0"/>
        <w:ind w:left="0"/>
        <w:jc w:val="both"/>
      </w:pPr>
      <w:r>
        <w:rPr>
          <w:rFonts w:ascii="Times New Roman"/>
          <w:b w:val="false"/>
          <w:i w:val="false"/>
          <w:color w:val="000000"/>
          <w:sz w:val="28"/>
        </w:rPr>
        <w:t>
      Дальнейшее развитие сервисной модели работы государственных органов. Законодательство в сфере государственной службы будет кардинально пересмотрено, закрепив задачи, стоящие перед государственной службой, предъявляемые к ней требования, а также ее миссию и предназначение, что приведет к переориентации целей и задач, выходящих за рамки регулирования трудовых отношений и направленных на установление клиентоориентированной модели поведения государственных служащих.</w:t>
      </w:r>
    </w:p>
    <w:bookmarkEnd w:id="860"/>
    <w:bookmarkStart w:name="z911" w:id="861"/>
    <w:p>
      <w:pPr>
        <w:spacing w:after="0"/>
        <w:ind w:left="0"/>
        <w:jc w:val="both"/>
      </w:pPr>
      <w:r>
        <w:rPr>
          <w:rFonts w:ascii="Times New Roman"/>
          <w:b w:val="false"/>
          <w:i w:val="false"/>
          <w:color w:val="000000"/>
          <w:sz w:val="28"/>
        </w:rPr>
        <w:t>
      Будут пересмотрены подходы к регулированию государственных услуг с закреплением принципов клиентоориентированности, проактивности, композитности, экстерриториальности оказания услуг.</w:t>
      </w:r>
    </w:p>
    <w:bookmarkEnd w:id="861"/>
    <w:bookmarkStart w:name="z912" w:id="862"/>
    <w:p>
      <w:pPr>
        <w:spacing w:after="0"/>
        <w:ind w:left="0"/>
        <w:jc w:val="both"/>
      </w:pPr>
      <w:r>
        <w:rPr>
          <w:rFonts w:ascii="Times New Roman"/>
          <w:b w:val="false"/>
          <w:i w:val="false"/>
          <w:color w:val="000000"/>
          <w:sz w:val="28"/>
        </w:rPr>
        <w:t>
      Сервисные услуги государства позволят удовлетворять сразу конечные запросы услугополучателей в соответствии с жизненными ситуациями. Будут сокращены сроки исполнения и перечни документов, необходимых для оказания государственных услуг, а за счет получения необходимых сведений из соответствующих информационных систем и сервисов будут исключены услуги справочного характера. Планируется значительно автоматизировать процессы оказания услуг с исключением участия человека для сокращения сроков обслуживания и минимизации коррупционных факторов. Перечень услуг, оказываемых экстерриториально, проактивно и композитно, будет расширяться на базе результатов системного анализа государственных сервисов и обратной связи от граждан и бизнеса.</w:t>
      </w:r>
    </w:p>
    <w:bookmarkEnd w:id="862"/>
    <w:bookmarkStart w:name="z913" w:id="863"/>
    <w:p>
      <w:pPr>
        <w:spacing w:after="0"/>
        <w:ind w:left="0"/>
        <w:jc w:val="both"/>
      </w:pPr>
      <w:r>
        <w:rPr>
          <w:rFonts w:ascii="Times New Roman"/>
          <w:b w:val="false"/>
          <w:i w:val="false"/>
          <w:color w:val="000000"/>
          <w:sz w:val="28"/>
        </w:rPr>
        <w:t>
      Планируется усиление работы по реализации принципов регулирования "с чистого листа", направленных на создание простых и прозрачных условий для ведения бизнеса. Продолжится актуализация требований и норм регулирования с учетом лучшего мирового опыта и при использовании обратной связи граждан, бизнеса и профессиональных ассоциаций.</w:t>
      </w:r>
    </w:p>
    <w:bookmarkEnd w:id="863"/>
    <w:bookmarkStart w:name="z914" w:id="864"/>
    <w:p>
      <w:pPr>
        <w:spacing w:after="0"/>
        <w:ind w:left="0"/>
        <w:jc w:val="both"/>
      </w:pPr>
      <w:r>
        <w:rPr>
          <w:rFonts w:ascii="Times New Roman"/>
          <w:b w:val="false"/>
          <w:i w:val="false"/>
          <w:color w:val="000000"/>
          <w:sz w:val="28"/>
        </w:rPr>
        <w:t>
      Дальнейшая работа в этом направлении будет направлена на формирование и обеспечение стандартов качества общественных благ на основе взаимного диалога государства и общества, что в том числе потребует определения принципов, а также порядка формирования, совершенствования и оказания общественно значимых услуг.</w:t>
      </w:r>
    </w:p>
    <w:bookmarkEnd w:id="864"/>
    <w:bookmarkStart w:name="z915" w:id="865"/>
    <w:p>
      <w:pPr>
        <w:spacing w:after="0"/>
        <w:ind w:left="0"/>
        <w:jc w:val="both"/>
      </w:pPr>
      <w:r>
        <w:rPr>
          <w:rFonts w:ascii="Times New Roman"/>
          <w:b w:val="false"/>
          <w:i w:val="false"/>
          <w:color w:val="000000"/>
          <w:sz w:val="28"/>
        </w:rPr>
        <w:t>
      Предусмотрена разработка отдельного реестра общественно значимых услуг с критериями измерения их качества. Ежегодно в рамках государственного социального заказа будет проводиться общественный мониторинг качества оказания данных услуг, что позволит государственным органам выстраивать свою деятельность в соответствии с потребностями и ожиданиями общества.</w:t>
      </w:r>
    </w:p>
    <w:bookmarkEnd w:id="865"/>
    <w:bookmarkStart w:name="z916" w:id="866"/>
    <w:p>
      <w:pPr>
        <w:spacing w:after="0"/>
        <w:ind w:left="0"/>
        <w:jc w:val="both"/>
      </w:pPr>
      <w:r>
        <w:rPr>
          <w:rFonts w:ascii="Times New Roman"/>
          <w:b w:val="false"/>
          <w:i w:val="false"/>
          <w:color w:val="000000"/>
          <w:sz w:val="28"/>
        </w:rPr>
        <w:t>
      Модернизация принципов и структуры работы государственного аппарата. Перенос акцента с бюрократического характера процесса на достижение качественных результатов был инициирован Указом "О мерах по дебюрократизации деятельности государственного аппарата". В этой связи в рамках дальнейшей работы будет осуществлен переход от формирования функций государственных органов к постановке задач, напрямую относящихся к улучшению экономики и сфер общественной жизни.</w:t>
      </w:r>
    </w:p>
    <w:bookmarkEnd w:id="866"/>
    <w:bookmarkStart w:name="z917" w:id="867"/>
    <w:p>
      <w:pPr>
        <w:spacing w:after="0"/>
        <w:ind w:left="0"/>
        <w:jc w:val="both"/>
      </w:pPr>
      <w:r>
        <w:rPr>
          <w:rFonts w:ascii="Times New Roman"/>
          <w:b w:val="false"/>
          <w:i w:val="false"/>
          <w:color w:val="000000"/>
          <w:sz w:val="28"/>
        </w:rPr>
        <w:t>
      Такие задачи охватят все государственные органы, участвующие в процессе их реализации. Улучшение условий управляемости ведомствами и департаментами будет обеспечено через сочетание рекомендаций по численности подразделений и предоставление гибкости в наборе персонала за счет увеличения свободы в распределении бюджетов государственного органа.</w:t>
      </w:r>
    </w:p>
    <w:bookmarkEnd w:id="867"/>
    <w:bookmarkStart w:name="z918" w:id="868"/>
    <w:p>
      <w:pPr>
        <w:spacing w:after="0"/>
        <w:ind w:left="0"/>
        <w:jc w:val="both"/>
      </w:pPr>
      <w:r>
        <w:rPr>
          <w:rFonts w:ascii="Times New Roman"/>
          <w:b w:val="false"/>
          <w:i w:val="false"/>
          <w:color w:val="000000"/>
          <w:sz w:val="28"/>
        </w:rPr>
        <w:t>
      Повышение открытости Правительства и вовлечения граждан в двусторонний диалог. Открытость Правительства является важным компонентом обеспечения подотчетности государственных органов и понимания государственных процессов со стороны граждан и бизнеса. Разработанные единые стандарты открытости, предполагающие проактивный подход к публикации информации, переход от открытости первых руководителей к открытости принятия всех управленческих решений, станут базой для адаптации деятельности государственных органов.</w:t>
      </w:r>
    </w:p>
    <w:bookmarkEnd w:id="868"/>
    <w:bookmarkStart w:name="z919" w:id="869"/>
    <w:p>
      <w:pPr>
        <w:spacing w:after="0"/>
        <w:ind w:left="0"/>
        <w:jc w:val="both"/>
      </w:pPr>
      <w:r>
        <w:rPr>
          <w:rFonts w:ascii="Times New Roman"/>
          <w:b w:val="false"/>
          <w:i w:val="false"/>
          <w:color w:val="000000"/>
          <w:sz w:val="28"/>
        </w:rPr>
        <w:t>
      Для обеспечения высокого качества принимаемых решений, улучшения их восприятия общественностью, а также общей эффективности предоставления государственных услуг продолжится работа по увеличению вовлечения граждан в двусторонний диалог с государственными органами.</w:t>
      </w:r>
    </w:p>
    <w:bookmarkEnd w:id="869"/>
    <w:bookmarkStart w:name="z920" w:id="870"/>
    <w:p>
      <w:pPr>
        <w:spacing w:after="0"/>
        <w:ind w:left="0"/>
        <w:jc w:val="both"/>
      </w:pPr>
      <w:r>
        <w:rPr>
          <w:rFonts w:ascii="Times New Roman"/>
          <w:b w:val="false"/>
          <w:i w:val="false"/>
          <w:color w:val="000000"/>
          <w:sz w:val="28"/>
        </w:rPr>
        <w:t>
      Основными инструментами станут повышение удобства предоставления обратной связи и применение мер, стимулирующих участие граждан в оценке работы государственных органов и обсуждении законопроектов.</w:t>
      </w:r>
    </w:p>
    <w:bookmarkEnd w:id="870"/>
    <w:bookmarkStart w:name="z921" w:id="871"/>
    <w:p>
      <w:pPr>
        <w:spacing w:after="0"/>
        <w:ind w:left="0"/>
        <w:jc w:val="both"/>
      </w:pPr>
      <w:r>
        <w:rPr>
          <w:rFonts w:ascii="Times New Roman"/>
          <w:b w:val="false"/>
          <w:i w:val="false"/>
          <w:color w:val="000000"/>
          <w:sz w:val="28"/>
        </w:rPr>
        <w:t>
      Внедрение передовых цифровых технологий обеспечит повышение эффективности и адресности государственных мер, сократит время, издержки и вероятность ошибок в администрировании, создаст технические условия для обеспечения открытости Правительства.</w:t>
      </w:r>
    </w:p>
    <w:bookmarkEnd w:id="871"/>
    <w:bookmarkStart w:name="z922" w:id="872"/>
    <w:p>
      <w:pPr>
        <w:spacing w:after="0"/>
        <w:ind w:left="0"/>
        <w:jc w:val="both"/>
      </w:pPr>
      <w:r>
        <w:rPr>
          <w:rFonts w:ascii="Times New Roman"/>
          <w:b w:val="false"/>
          <w:i w:val="false"/>
          <w:color w:val="000000"/>
          <w:sz w:val="28"/>
        </w:rPr>
        <w:t>
      Ключевыми факторами являются цифровизация и автоматизация государственных процессов, оптимизация управления государственными данными и модернизация функционала государственных сервисов.</w:t>
      </w:r>
    </w:p>
    <w:bookmarkEnd w:id="872"/>
    <w:bookmarkStart w:name="z923" w:id="873"/>
    <w:p>
      <w:pPr>
        <w:spacing w:after="0"/>
        <w:ind w:left="0"/>
        <w:jc w:val="both"/>
      </w:pPr>
      <w:r>
        <w:rPr>
          <w:rFonts w:ascii="Times New Roman"/>
          <w:b w:val="false"/>
          <w:i w:val="false"/>
          <w:color w:val="000000"/>
          <w:sz w:val="28"/>
        </w:rPr>
        <w:t>
      Все государственные задачи предусмотрено перевести в цифровой формат. При оцифровке будет оптимизирована структура низкоэффективных бизнес- процессов.</w:t>
      </w:r>
    </w:p>
    <w:bookmarkEnd w:id="873"/>
    <w:bookmarkStart w:name="z924" w:id="874"/>
    <w:p>
      <w:pPr>
        <w:spacing w:after="0"/>
        <w:ind w:left="0"/>
        <w:jc w:val="both"/>
      </w:pPr>
      <w:r>
        <w:rPr>
          <w:rFonts w:ascii="Times New Roman"/>
          <w:b w:val="false"/>
          <w:i w:val="false"/>
          <w:color w:val="000000"/>
          <w:sz w:val="28"/>
        </w:rPr>
        <w:t>
      Запланировано обеспечение подключения сервисов, информационных систем и баз данных "электронного правительства" с проектами Национальной цифровой финансовой инфраструктуры - Национальной платежной системы, платформ цифрового тенге, открытого банкинга (Open Banking базируется на применении технологии Open API) и Антифрод-центра (защита средств граждан от мошеннических операций).</w:t>
      </w:r>
    </w:p>
    <w:bookmarkEnd w:id="874"/>
    <w:bookmarkStart w:name="z925" w:id="875"/>
    <w:p>
      <w:pPr>
        <w:spacing w:after="0"/>
        <w:ind w:left="0"/>
        <w:jc w:val="both"/>
      </w:pPr>
      <w:r>
        <w:rPr>
          <w:rFonts w:ascii="Times New Roman"/>
          <w:b w:val="false"/>
          <w:i w:val="false"/>
          <w:color w:val="000000"/>
          <w:sz w:val="28"/>
        </w:rPr>
        <w:t>
      Взаимодействие платформ позволит обеспечить бесперебойность, оптимизацию и расширение доступности государственных услуг и финансовых сервисов, создаст равные условия доступа к государственной инфраструктуре для участников финансового рынка, обеспечит гражданам возможность управления и контроля доступа к собственным финансовым и нефинансовым сервисам, снизит издержки государственных органов на создание параллельных платформ и сервисов и повысит их аналитические возможности.</w:t>
      </w:r>
    </w:p>
    <w:bookmarkEnd w:id="875"/>
    <w:bookmarkStart w:name="z926" w:id="876"/>
    <w:p>
      <w:pPr>
        <w:spacing w:after="0"/>
        <w:ind w:left="0"/>
        <w:jc w:val="both"/>
      </w:pPr>
      <w:r>
        <w:rPr>
          <w:rFonts w:ascii="Times New Roman"/>
          <w:b w:val="false"/>
          <w:i w:val="false"/>
          <w:color w:val="000000"/>
          <w:sz w:val="28"/>
        </w:rPr>
        <w:t>
      Все данные Правительства будут переведены на единую архитектуру и интегрированы в единой аналитической системе с использованием решений прикладного ИИ. Будет усилена интеграция государственных и частных данных через переход на принципы единой архитектуры.</w:t>
      </w:r>
    </w:p>
    <w:bookmarkEnd w:id="876"/>
    <w:bookmarkStart w:name="z927" w:id="877"/>
    <w:p>
      <w:pPr>
        <w:spacing w:after="0"/>
        <w:ind w:left="0"/>
        <w:jc w:val="both"/>
      </w:pPr>
      <w:r>
        <w:rPr>
          <w:rFonts w:ascii="Times New Roman"/>
          <w:b w:val="false"/>
          <w:i w:val="false"/>
          <w:color w:val="000000"/>
          <w:sz w:val="28"/>
        </w:rPr>
        <w:t>
      Данные всех государственных ведомств станут доступны для интеграции с сервисами частных коммерческих предприятий и для аналитического использования исследователей. Государство расширит использование частных данных для проведения комплексной аналитики, включая проверки на отсутствие фактов незаконного обогащения.</w:t>
      </w:r>
    </w:p>
    <w:bookmarkEnd w:id="877"/>
    <w:bookmarkStart w:name="z928" w:id="878"/>
    <w:p>
      <w:pPr>
        <w:spacing w:after="0"/>
        <w:ind w:left="0"/>
        <w:jc w:val="both"/>
      </w:pPr>
      <w:r>
        <w:rPr>
          <w:rFonts w:ascii="Times New Roman"/>
          <w:b w:val="false"/>
          <w:i w:val="false"/>
          <w:color w:val="000000"/>
          <w:sz w:val="28"/>
        </w:rPr>
        <w:t>
      Продолжится расширение перечня оказываемых проактивных услуг. Дополнительные цифровые функции будут вводиться по результатам анализа "жизненных ситуаций" граждан и бизнеса. Кроме того, предусмотрено устранение расхождений в возможностях получения и отслеживания услуг через разные каналы.</w:t>
      </w:r>
    </w:p>
    <w:bookmarkEnd w:id="878"/>
    <w:bookmarkStart w:name="z929" w:id="8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Профессионализация государственного аппарата путем перехода на полноценную гибридную модель государственной службы</w:t>
      </w:r>
    </w:p>
    <w:bookmarkEnd w:id="879"/>
    <w:bookmarkStart w:name="z930" w:id="880"/>
    <w:p>
      <w:pPr>
        <w:spacing w:after="0"/>
        <w:ind w:left="0"/>
        <w:jc w:val="both"/>
      </w:pPr>
      <w:r>
        <w:rPr>
          <w:rFonts w:ascii="Times New Roman"/>
          <w:b w:val="false"/>
          <w:i w:val="false"/>
          <w:color w:val="000000"/>
          <w:sz w:val="28"/>
        </w:rPr>
        <w:t>
      Ключевой целью данного направления станет повышение эффективности работы государственных служащих, их адаптивности, способности к оперативному реагированию и нацеленности на результат. Ожидаемым результатом направления станет увеличение уровня удовлетворенности сотрудниками, оказывающими государственные услуги населению и бизнесу.</w:t>
      </w:r>
    </w:p>
    <w:bookmarkEnd w:id="880"/>
    <w:bookmarkStart w:name="z931" w:id="881"/>
    <w:p>
      <w:pPr>
        <w:spacing w:after="0"/>
        <w:ind w:left="0"/>
        <w:jc w:val="both"/>
      </w:pPr>
      <w:r>
        <w:rPr>
          <w:rFonts w:ascii="Times New Roman"/>
          <w:b w:val="false"/>
          <w:i w:val="false"/>
          <w:color w:val="000000"/>
          <w:sz w:val="28"/>
        </w:rPr>
        <w:t>
      В этой связи основными задачами определены внедрение стратегического подхода к подбору кадров, разработка системы горизонтального карьерного продвижения, развитие программ обучения на основе ассессмента, улучшение социального обеспечения государственных служащих, а также усиление защиты их прав. Кроме того, для эффективного управления персоналом государственной службы будет активно внедряться использование цифровых технологий, что позволит повысить прозрачность и оперативность процессов управления.</w:t>
      </w:r>
    </w:p>
    <w:bookmarkEnd w:id="881"/>
    <w:bookmarkStart w:name="z932" w:id="882"/>
    <w:p>
      <w:pPr>
        <w:spacing w:after="0"/>
        <w:ind w:left="0"/>
        <w:jc w:val="both"/>
      </w:pPr>
      <w:r>
        <w:rPr>
          <w:rFonts w:ascii="Times New Roman"/>
          <w:b w:val="false"/>
          <w:i w:val="false"/>
          <w:color w:val="000000"/>
          <w:sz w:val="28"/>
        </w:rPr>
        <w:t>
      Внедрение стратегического подхода к подбору кадров обеспечит повышение качества человеческого капитала на государственной службе и рост потока талантливых работников из частного сектора. Для привлечения молодежи в государственные органы будет создан институт ранней профессиональной ориентации, который охватит школьный и вузовский уровни.</w:t>
      </w:r>
    </w:p>
    <w:bookmarkEnd w:id="882"/>
    <w:bookmarkStart w:name="z933" w:id="883"/>
    <w:p>
      <w:pPr>
        <w:spacing w:after="0"/>
        <w:ind w:left="0"/>
        <w:jc w:val="both"/>
      </w:pPr>
      <w:r>
        <w:rPr>
          <w:rFonts w:ascii="Times New Roman"/>
          <w:b w:val="false"/>
          <w:i w:val="false"/>
          <w:color w:val="000000"/>
          <w:sz w:val="28"/>
        </w:rPr>
        <w:t>
      В целях повышения открытости государственной службы планируется введение универсального конкурса для всех кандидатов (государственных служащих и представителей негосударственного сектора) с централизацией начальных этапов и проведением завершающего этапа практической оценки непосредственно в государственном органе. Оптимизация многоступенчатой процедуры отбора кандидатов будет проведена с использованием передовых зарубежных и бизнес-практик, включая решение ситуативных задач, тесты на оценку личностных качеств, а также внедрение элементов ИИ.</w:t>
      </w:r>
    </w:p>
    <w:bookmarkEnd w:id="883"/>
    <w:bookmarkStart w:name="z934" w:id="884"/>
    <w:p>
      <w:pPr>
        <w:spacing w:after="0"/>
        <w:ind w:left="0"/>
        <w:jc w:val="both"/>
      </w:pPr>
      <w:r>
        <w:rPr>
          <w:rFonts w:ascii="Times New Roman"/>
          <w:b w:val="false"/>
          <w:i w:val="false"/>
          <w:color w:val="000000"/>
          <w:sz w:val="28"/>
        </w:rPr>
        <w:t>
      Горизонтальная система карьерного продвижения позволит государственным служащим развиваться в рамках своей текущей должности на основе оценки деятельности, обучения и прохождения стажировок. Это решает проблему ограниченных возможностей для продвижения на вышестоящие позиции и будет способствовать созданию сбалансированной рабочей среды, где учитываются интересы государственных служащих, стремящихся к развитию в качестве экспертов в своей области.</w:t>
      </w:r>
    </w:p>
    <w:bookmarkEnd w:id="884"/>
    <w:bookmarkStart w:name="z935" w:id="885"/>
    <w:p>
      <w:pPr>
        <w:spacing w:after="0"/>
        <w:ind w:left="0"/>
        <w:jc w:val="both"/>
      </w:pPr>
      <w:r>
        <w:rPr>
          <w:rFonts w:ascii="Times New Roman"/>
          <w:b w:val="false"/>
          <w:i w:val="false"/>
          <w:color w:val="000000"/>
          <w:sz w:val="28"/>
        </w:rPr>
        <w:t>
      Совершенствование программ обучения будет направлено на постоянное улучшение человеческого капитала служащих и адаптацию навыков к изменению рабочих задач.</w:t>
      </w:r>
    </w:p>
    <w:bookmarkEnd w:id="885"/>
    <w:bookmarkStart w:name="z936" w:id="886"/>
    <w:p>
      <w:pPr>
        <w:spacing w:after="0"/>
        <w:ind w:left="0"/>
        <w:jc w:val="both"/>
      </w:pPr>
      <w:r>
        <w:rPr>
          <w:rFonts w:ascii="Times New Roman"/>
          <w:b w:val="false"/>
          <w:i w:val="false"/>
          <w:color w:val="000000"/>
          <w:sz w:val="28"/>
        </w:rPr>
        <w:t>
      Для выявления потребностей в обучении и развитии будут использоваться методы предварительной оценки, такие как ассессмент, проводимый за год до повышения квалификации, что позволит определить области для развития и создать индивидуальные программы обучения.</w:t>
      </w:r>
    </w:p>
    <w:bookmarkEnd w:id="886"/>
    <w:bookmarkStart w:name="z937" w:id="887"/>
    <w:p>
      <w:pPr>
        <w:spacing w:after="0"/>
        <w:ind w:left="0"/>
        <w:jc w:val="both"/>
      </w:pPr>
      <w:r>
        <w:rPr>
          <w:rFonts w:ascii="Times New Roman"/>
          <w:b w:val="false"/>
          <w:i w:val="false"/>
          <w:color w:val="000000"/>
          <w:sz w:val="28"/>
        </w:rPr>
        <w:t>
      Новые подходы обучения затронут программы лидерства для руководителей, обучение всех служащих использованию новых технологий и обмен опытом с частным сектором и зарубежными организациями. Программы трансформационного лидерства для руководителей, являющиеся необходимым элементом обновления организационной культуры, будут внедрены в качестве обязательного требования для всех руководителей должностей. Обучение всех служащих использованию новых технологий, включая работу с ИИ, позволит увеличить производительность труда и сохранить квалификацию на сотрудников на конкурентоспособном уровне.</w:t>
      </w:r>
    </w:p>
    <w:bookmarkEnd w:id="887"/>
    <w:bookmarkStart w:name="z938" w:id="888"/>
    <w:p>
      <w:pPr>
        <w:spacing w:after="0"/>
        <w:ind w:left="0"/>
        <w:jc w:val="both"/>
      </w:pPr>
      <w:r>
        <w:rPr>
          <w:rFonts w:ascii="Times New Roman"/>
          <w:b w:val="false"/>
          <w:i w:val="false"/>
          <w:color w:val="000000"/>
          <w:sz w:val="28"/>
        </w:rPr>
        <w:t>
      Обмен опытом с организациями частного сектора и зарубежными государственными органами обеспечит трансферт передовых навыков и управленческих практик на государственную службу. Для обмена опытом в том числе получат развитие программы стажировок для государственных служащих, а также будут организованы мастер-классы с привлечением ведущих экспертов.</w:t>
      </w:r>
    </w:p>
    <w:bookmarkEnd w:id="888"/>
    <w:bookmarkStart w:name="z939" w:id="889"/>
    <w:p>
      <w:pPr>
        <w:spacing w:after="0"/>
        <w:ind w:left="0"/>
        <w:jc w:val="both"/>
      </w:pPr>
      <w:r>
        <w:rPr>
          <w:rFonts w:ascii="Times New Roman"/>
          <w:b w:val="false"/>
          <w:i w:val="false"/>
          <w:color w:val="000000"/>
          <w:sz w:val="28"/>
        </w:rPr>
        <w:t>
      В целях усиления защиты прав государственных служащих от неправомерных наказаний и стимулирования их инициативности будут разработаны гибкие подходы к дисциплинарной ответственности, которые позволят учитывать обстоятельства, как смягчающие, так и отягчающие ответственность. Кроме того, будут приняты меры для защиты чести и достоинства государственных служащих от посягательств, связанных с их профессиональной деятельностью.</w:t>
      </w:r>
    </w:p>
    <w:bookmarkEnd w:id="889"/>
    <w:bookmarkStart w:name="z940" w:id="890"/>
    <w:p>
      <w:pPr>
        <w:spacing w:after="0"/>
        <w:ind w:left="0"/>
        <w:jc w:val="both"/>
      </w:pPr>
      <w:r>
        <w:rPr>
          <w:rFonts w:ascii="Times New Roman"/>
          <w:b w:val="false"/>
          <w:i w:val="false"/>
          <w:color w:val="000000"/>
          <w:sz w:val="28"/>
        </w:rPr>
        <w:t>
      Улучшение социального обеспечения государственных служащих поможет удержать и привлечь наиболее компетентные кадры, обеспечивая преемственность институциональной памяти и стабильность кадрового состава на государственной службе.</w:t>
      </w:r>
    </w:p>
    <w:bookmarkEnd w:id="890"/>
    <w:bookmarkStart w:name="z941" w:id="89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Дальнейшее развитие антикоррупционной политики</w:t>
      </w:r>
    </w:p>
    <w:bookmarkEnd w:id="891"/>
    <w:bookmarkStart w:name="z942" w:id="892"/>
    <w:p>
      <w:pPr>
        <w:spacing w:after="0"/>
        <w:ind w:left="0"/>
        <w:jc w:val="both"/>
      </w:pPr>
      <w:r>
        <w:rPr>
          <w:rFonts w:ascii="Times New Roman"/>
          <w:b w:val="false"/>
          <w:i w:val="false"/>
          <w:color w:val="000000"/>
          <w:sz w:val="28"/>
        </w:rPr>
        <w:t>
      Ключевой целью данного направления станет сокращение уровня коррупции как одной из главных угроз экономического и социального развития страны. Усилия государства будут направлены на дальнейшее развитие антикоррупционной политики, широкое вовлечение гражданского общества в противодействие коррупции, устранение предпосылок коррупции, а также обеспечение неотвратимости ответственности.</w:t>
      </w:r>
    </w:p>
    <w:bookmarkEnd w:id="892"/>
    <w:bookmarkStart w:name="z943" w:id="893"/>
    <w:p>
      <w:pPr>
        <w:spacing w:after="0"/>
        <w:ind w:left="0"/>
        <w:jc w:val="both"/>
      </w:pPr>
      <w:r>
        <w:rPr>
          <w:rFonts w:ascii="Times New Roman"/>
          <w:b w:val="false"/>
          <w:i w:val="false"/>
          <w:color w:val="000000"/>
          <w:sz w:val="28"/>
        </w:rPr>
        <w:t>
      Ключевые приоритеты и задачи по противодействию коррупции будут реализованы через Концепцию антикоррупционной политики. В результате к 2029 году значение индекса восприятия коррупции Transparency International для Казахстана войдет в диапазон 40 - 49 баллов.</w:t>
      </w:r>
    </w:p>
    <w:bookmarkEnd w:id="893"/>
    <w:bookmarkStart w:name="z944" w:id="894"/>
    <w:p>
      <w:pPr>
        <w:spacing w:after="0"/>
        <w:ind w:left="0"/>
        <w:jc w:val="both"/>
      </w:pPr>
      <w:r>
        <w:rPr>
          <w:rFonts w:ascii="Times New Roman"/>
          <w:b w:val="false"/>
          <w:i w:val="false"/>
          <w:color w:val="000000"/>
          <w:sz w:val="28"/>
        </w:rPr>
        <w:t>
      Продолжится работа по развитию целостной антикоррупционной политики с учетом международных стандартов и лучших зарубежных практик, основанных на Конвенции ООН против коррупции, рекомендациях ГРЕКО, ОЭСР, ФАТФ и других организаций.</w:t>
      </w:r>
    </w:p>
    <w:bookmarkEnd w:id="894"/>
    <w:bookmarkStart w:name="z945" w:id="895"/>
    <w:p>
      <w:pPr>
        <w:spacing w:after="0"/>
        <w:ind w:left="0"/>
        <w:jc w:val="both"/>
      </w:pPr>
      <w:r>
        <w:rPr>
          <w:rFonts w:ascii="Times New Roman"/>
          <w:b w:val="false"/>
          <w:i w:val="false"/>
          <w:color w:val="000000"/>
          <w:sz w:val="28"/>
        </w:rPr>
        <w:t>
      Развитие антикоррупционной культуры. Антикоррупционная культура, основанная на честности и неподкупности, должна стать неотъемлемой частью национального самосознания. Абсолютное неприятие коррупции будет достигнуто путем непрерывной информационно-разъяснительной работы, антикоррупционного просвещения, мотивации государственных служащих, предпринимателей и общества в целом на добропорядочное поведение.</w:t>
      </w:r>
    </w:p>
    <w:bookmarkEnd w:id="895"/>
    <w:bookmarkStart w:name="z946" w:id="896"/>
    <w:p>
      <w:pPr>
        <w:spacing w:after="0"/>
        <w:ind w:left="0"/>
        <w:jc w:val="both"/>
      </w:pPr>
      <w:r>
        <w:rPr>
          <w:rFonts w:ascii="Times New Roman"/>
          <w:b w:val="false"/>
          <w:i w:val="false"/>
          <w:color w:val="000000"/>
          <w:sz w:val="28"/>
        </w:rPr>
        <w:t>
      Исключение предпосылок коррупции. Будет сформирована эффективная система с надлежащим контролем на всех стадиях бюджетного процесса и обеспечением его прозрачности. Для этого правоохранительные и иные уполномоченные государственные органы должны обладать всеми возможностями по предотвращению таких фактов. При этом предусмотрено обеспечение сохранности сведений, составляющих банковскую и иную тайну.</w:t>
      </w:r>
    </w:p>
    <w:bookmarkEnd w:id="896"/>
    <w:bookmarkStart w:name="z947" w:id="897"/>
    <w:p>
      <w:pPr>
        <w:spacing w:after="0"/>
        <w:ind w:left="0"/>
        <w:jc w:val="both"/>
      </w:pPr>
      <w:r>
        <w:rPr>
          <w:rFonts w:ascii="Times New Roman"/>
          <w:b w:val="false"/>
          <w:i w:val="false"/>
          <w:color w:val="000000"/>
          <w:sz w:val="28"/>
        </w:rPr>
        <w:t>
      Принцип неотвратимости ответственности за коррупцию будет реализован в полной мере путем применения административного и уголовно-правового воздействия.</w:t>
      </w:r>
    </w:p>
    <w:bookmarkEnd w:id="897"/>
    <w:p>
      <w:pPr>
        <w:spacing w:after="0"/>
        <w:ind w:left="0"/>
        <w:jc w:val="both"/>
      </w:pPr>
      <w:r>
        <w:rPr>
          <w:rFonts w:ascii="Times New Roman"/>
          <w:b/>
          <w:i w:val="false"/>
          <w:color w:val="000000"/>
          <w:sz w:val="28"/>
        </w:rPr>
        <w:t>ЗАКЛЮЧЕНИЕ</w:t>
      </w:r>
    </w:p>
    <w:bookmarkStart w:name="z948" w:id="898"/>
    <w:p>
      <w:pPr>
        <w:spacing w:after="0"/>
        <w:ind w:left="0"/>
        <w:jc w:val="both"/>
      </w:pPr>
      <w:r>
        <w:rPr>
          <w:rFonts w:ascii="Times New Roman"/>
          <w:b w:val="false"/>
          <w:i w:val="false"/>
          <w:color w:val="000000"/>
          <w:sz w:val="28"/>
        </w:rPr>
        <w:t>
      Национальный план развития Республики Казахстан до 2029 года как основной документ Системы государственного планирования на среднесрочный период ориентирован на реализацию нового экономического курса страны.</w:t>
      </w:r>
    </w:p>
    <w:bookmarkEnd w:id="898"/>
    <w:bookmarkStart w:name="z949" w:id="899"/>
    <w:p>
      <w:pPr>
        <w:spacing w:after="0"/>
        <w:ind w:left="0"/>
        <w:jc w:val="both"/>
      </w:pPr>
      <w:r>
        <w:rPr>
          <w:rFonts w:ascii="Times New Roman"/>
          <w:b w:val="false"/>
          <w:i w:val="false"/>
          <w:color w:val="000000"/>
          <w:sz w:val="28"/>
        </w:rPr>
        <w:t>
      Документ учитывает текущие глобальные тренды и происходящие фундаментальные сдвиги на различных рынках.</w:t>
      </w:r>
    </w:p>
    <w:bookmarkEnd w:id="899"/>
    <w:bookmarkStart w:name="z950" w:id="900"/>
    <w:p>
      <w:pPr>
        <w:spacing w:after="0"/>
        <w:ind w:left="0"/>
        <w:jc w:val="both"/>
      </w:pPr>
      <w:r>
        <w:rPr>
          <w:rFonts w:ascii="Times New Roman"/>
          <w:b w:val="false"/>
          <w:i w:val="false"/>
          <w:color w:val="000000"/>
          <w:sz w:val="28"/>
        </w:rPr>
        <w:t>
      Базисом новой парадигмы экономического развития являются эффективное использование конкурентных преимуществ страны и раскрытие потенциала ключевых факторов производства - труда, капитала, ресурсов и технологий.</w:t>
      </w:r>
    </w:p>
    <w:bookmarkEnd w:id="900"/>
    <w:bookmarkStart w:name="z951" w:id="901"/>
    <w:p>
      <w:pPr>
        <w:spacing w:after="0"/>
        <w:ind w:left="0"/>
        <w:jc w:val="both"/>
      </w:pPr>
      <w:r>
        <w:rPr>
          <w:rFonts w:ascii="Times New Roman"/>
          <w:b w:val="false"/>
          <w:i w:val="false"/>
          <w:color w:val="000000"/>
          <w:sz w:val="28"/>
        </w:rPr>
        <w:t>
      При этом результатом последовательных реформ станет достижение целевых индикаторов и поэтапный переход на качественно новую модель экономического роста, главенствующей задачей которой является реальное улучшение жизни граждан, устранение неравенства и защита окружающей среды.</w:t>
      </w:r>
    </w:p>
    <w:bookmarkEnd w:id="901"/>
    <w:bookmarkStart w:name="z952" w:id="902"/>
    <w:p>
      <w:pPr>
        <w:spacing w:after="0"/>
        <w:ind w:left="0"/>
        <w:jc w:val="both"/>
      </w:pPr>
      <w:r>
        <w:rPr>
          <w:rFonts w:ascii="Times New Roman"/>
          <w:b w:val="false"/>
          <w:i w:val="false"/>
          <w:color w:val="000000"/>
          <w:sz w:val="28"/>
        </w:rPr>
        <w:t>
      Одними из основных достижений ставятся обеспечение доступа всех жителей страны к базовой инфраструктуре и качественным услугам, а также создание равных возможностей для каждого гражданина.</w:t>
      </w:r>
    </w:p>
    <w:bookmarkEnd w:id="902"/>
    <w:bookmarkStart w:name="z953" w:id="903"/>
    <w:p>
      <w:pPr>
        <w:spacing w:after="0"/>
        <w:ind w:left="0"/>
        <w:jc w:val="both"/>
      </w:pPr>
      <w:r>
        <w:rPr>
          <w:rFonts w:ascii="Times New Roman"/>
          <w:b w:val="false"/>
          <w:i w:val="false"/>
          <w:color w:val="000000"/>
          <w:sz w:val="28"/>
        </w:rPr>
        <w:t>
      Формирование прочного промышленного каркаса и поддержка новых точек роста станут залогом динамичного и устойчивого развития экономики.</w:t>
      </w:r>
    </w:p>
    <w:bookmarkEnd w:id="903"/>
    <w:bookmarkStart w:name="z954" w:id="904"/>
    <w:p>
      <w:pPr>
        <w:spacing w:after="0"/>
        <w:ind w:left="0"/>
        <w:jc w:val="both"/>
      </w:pPr>
      <w:r>
        <w:rPr>
          <w:rFonts w:ascii="Times New Roman"/>
          <w:b w:val="false"/>
          <w:i w:val="false"/>
          <w:color w:val="000000"/>
          <w:sz w:val="28"/>
        </w:rPr>
        <w:t>
      Проведение структурных преобразований по либерализации экономики и созданию динамичной предпринимательской среды, увеличению инвестиций, повышению экологической устойчивости, эффективности государственного управления и дальнейшему укреплению верховенства права базируются на принципах справедливости, инклюзивное™ и прагматичности.</w:t>
      </w:r>
    </w:p>
    <w:bookmarkEnd w:id="904"/>
    <w:bookmarkStart w:name="z955" w:id="905"/>
    <w:p>
      <w:pPr>
        <w:spacing w:after="0"/>
        <w:ind w:left="0"/>
        <w:jc w:val="both"/>
      </w:pPr>
      <w:r>
        <w:rPr>
          <w:rFonts w:ascii="Times New Roman"/>
          <w:b w:val="false"/>
          <w:i w:val="false"/>
          <w:color w:val="000000"/>
          <w:sz w:val="28"/>
        </w:rPr>
        <w:t>
      Основным акцентом преобразований являются повышение качества и развитие человеческого капитала наряду с институциональными реформами, проводимыми в партнерстве общества, бизнеса и государства.</w:t>
      </w:r>
    </w:p>
    <w:bookmarkEnd w:id="905"/>
    <w:bookmarkStart w:name="z956" w:id="906"/>
    <w:p>
      <w:pPr>
        <w:spacing w:after="0"/>
        <w:ind w:left="0"/>
        <w:jc w:val="both"/>
      </w:pPr>
      <w:r>
        <w:rPr>
          <w:rFonts w:ascii="Times New Roman"/>
          <w:b w:val="false"/>
          <w:i w:val="false"/>
          <w:color w:val="000000"/>
          <w:sz w:val="28"/>
        </w:rPr>
        <w:t>
      Успешная реализация структурных реформ и достижение стратегических ориентиров позволят создать необходимые условия для развития отраслей экономики и социальной сферы, что обеспечит вхождение Казахстана в группу стран с высокими подушевыми доходами.</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Национальному плану</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до 2029 года</w:t>
            </w:r>
          </w:p>
        </w:tc>
      </w:tr>
    </w:tbl>
    <w:bookmarkStart w:name="z958" w:id="907"/>
    <w:p>
      <w:pPr>
        <w:spacing w:after="0"/>
        <w:ind w:left="0"/>
        <w:jc w:val="left"/>
      </w:pPr>
      <w:r>
        <w:rPr>
          <w:rFonts w:ascii="Times New Roman"/>
          <w:b/>
          <w:i w:val="false"/>
          <w:color w:val="000000"/>
        </w:rPr>
        <w:t xml:space="preserve"> Ключевые национальные индикаторы до 2029 года</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(в текущих ценах)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реального роста экономики, % относительно прошлого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накопленного роста производительности труда, 2022=100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(в текущих ценах)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08"/>
          <w:p>
            <w:pPr>
              <w:spacing w:after="20"/>
              <w:ind w:left="20"/>
              <w:jc w:val="both"/>
            </w:pPr>
            <w:r>
              <w:rPr>
                <w:rFonts w:ascii="Times New Roman"/>
                <w:b w:val="false"/>
                <w:i w:val="false"/>
                <w:color w:val="000000"/>
                <w:sz w:val="20"/>
              </w:rPr>
              <w:t>
21 055</w:t>
            </w:r>
          </w:p>
          <w:bookmarkEnd w:id="908"/>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продовольственные товары в структуре денежных расходов населения,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результатов среднего образования на основе тестирования PISA,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Читательская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Естественно-научная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вузов в топ-700 рейтинга QS World University Rankings,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минимума/ниже черты бедности,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социальными благами и услугами в соответствии с Системой региональных стандартов,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износа сетей тепло-, водоснабжения и водоотведения, регулируемых СЕМ,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геолого-геофизической изученности территории, тыс. кв.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с накоплением с 2022 года, ГВт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 % от общего объема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Энергоемкость ВВП, тнэ/тыс. долл. США в ценах 2015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продукции обрабатывающей промышленности, млрд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транзитных перевозок через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АПК**,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1Т-продуктов и услуг,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активности в области инноваций,%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туристов, обслуженных местами размещения, млн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туристов, обслуженных местами размещения, млн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среднего предпринимательства в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(ИОК), % от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внешних инвестиций в общем объеме ИОК,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кредитов бизнесу, % (от уровня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9"/>
          <w:p>
            <w:pPr>
              <w:spacing w:after="20"/>
              <w:ind w:left="20"/>
              <w:jc w:val="both"/>
            </w:pPr>
            <w:r>
              <w:rPr>
                <w:rFonts w:ascii="Times New Roman"/>
                <w:b w:val="false"/>
                <w:i w:val="false"/>
                <w:color w:val="000000"/>
                <w:sz w:val="20"/>
              </w:rPr>
              <w:t>
Предельный объем выбросов парниковых газов, %</w:t>
            </w:r>
          </w:p>
          <w:bookmarkEnd w:id="909"/>
          <w:p>
            <w:pPr>
              <w:spacing w:after="20"/>
              <w:ind w:left="20"/>
              <w:jc w:val="both"/>
            </w:pPr>
            <w:r>
              <w:rPr>
                <w:rFonts w:ascii="Times New Roman"/>
                <w:b w:val="false"/>
                <w:i w:val="false"/>
                <w:color w:val="000000"/>
                <w:sz w:val="20"/>
              </w:rPr>
              <w:t>
(к уровню 1990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воды в сельском хозяйстве по водотранспортирующим каналам,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поливной воды за счет внедрения водосберегающих технологий в орошаемом земледелии, млн м3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10"/>
          <w:p>
            <w:pPr>
              <w:spacing w:after="20"/>
              <w:ind w:left="20"/>
              <w:jc w:val="both"/>
            </w:pPr>
            <w:r>
              <w:rPr>
                <w:rFonts w:ascii="Times New Roman"/>
                <w:b w:val="false"/>
                <w:i w:val="false"/>
                <w:color w:val="000000"/>
                <w:sz w:val="20"/>
              </w:rPr>
              <w:t>
нет</w:t>
            </w:r>
          </w:p>
          <w:bookmarkEnd w:id="910"/>
          <w:p>
            <w:pPr>
              <w:spacing w:after="20"/>
              <w:ind w:left="20"/>
              <w:jc w:val="both"/>
            </w:pPr>
            <w:r>
              <w:rPr>
                <w:rFonts w:ascii="Times New Roman"/>
                <w:b w:val="false"/>
                <w:i w:val="false"/>
                <w:color w:val="000000"/>
                <w:sz w:val="20"/>
              </w:rPr>
              <w:t>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республиканского бюджета, % от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верховенства права от World Justice Project по шкале от 0 до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эффективности государственного управления от Всемирного банка (по шкале от -2,5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62" w:id="911"/>
    <w:p>
      <w:pPr>
        <w:spacing w:after="0"/>
        <w:ind w:left="0"/>
        <w:jc w:val="both"/>
      </w:pPr>
      <w:r>
        <w:rPr>
          <w:rFonts w:ascii="Times New Roman"/>
          <w:b w:val="false"/>
          <w:i w:val="false"/>
          <w:color w:val="000000"/>
          <w:sz w:val="28"/>
        </w:rPr>
        <w:t>
      Примечание:</w:t>
      </w:r>
    </w:p>
    <w:bookmarkEnd w:id="911"/>
    <w:bookmarkStart w:name="z963" w:id="912"/>
    <w:p>
      <w:pPr>
        <w:spacing w:after="0"/>
        <w:ind w:left="0"/>
        <w:jc w:val="both"/>
      </w:pPr>
      <w:r>
        <w:rPr>
          <w:rFonts w:ascii="Times New Roman"/>
          <w:b w:val="false"/>
          <w:i w:val="false"/>
          <w:color w:val="000000"/>
          <w:sz w:val="28"/>
        </w:rPr>
        <w:t>
      *- предварительные данные;</w:t>
      </w:r>
    </w:p>
    <w:bookmarkEnd w:id="912"/>
    <w:bookmarkStart w:name="z964" w:id="913"/>
    <w:p>
      <w:pPr>
        <w:spacing w:after="0"/>
        <w:ind w:left="0"/>
        <w:jc w:val="both"/>
      </w:pPr>
      <w:r>
        <w:rPr>
          <w:rFonts w:ascii="Times New Roman"/>
          <w:b w:val="false"/>
          <w:i w:val="false"/>
          <w:color w:val="000000"/>
          <w:sz w:val="28"/>
        </w:rPr>
        <w:t>
      ** - молоко, мясо, семена масличных культур, рис, кукуруза, гречиха. Все цены указаны в значениях 2022 года.</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2024 года № 611</w:t>
            </w:r>
          </w:p>
        </w:tc>
      </w:tr>
    </w:tbl>
    <w:bookmarkStart w:name="z966" w:id="91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914"/>
    <w:bookmarkStart w:name="z967" w:id="9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915"/>
    <w:bookmarkStart w:name="z968" w:id="9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26</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 "О некоторых вопросах реализации Указа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w:t>
      </w:r>
    </w:p>
    <w:bookmarkEnd w:id="916"/>
    <w:bookmarkStart w:name="z969" w:id="9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bookmarkEnd w:id="917"/>
    <w:bookmarkStart w:name="z970" w:id="9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bookmarkEnd w:id="918"/>
    <w:bookmarkStart w:name="z971" w:id="9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18</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26 ноября 2022 года № 5 "О некоторых вопросах Высшей аудиторской палаты Республики Казахстан".</w:t>
      </w:r>
    </w:p>
    <w:bookmarkEnd w:id="919"/>
    <w:bookmarkStart w:name="z972" w:id="9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25</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апреля 2023 года № 195 "О внесении изменений и дополнений в некоторые акты Президента Республики Казахстан".</w:t>
      </w:r>
    </w:p>
    <w:bookmarkEnd w:id="9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