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2529b" w14:textId="6a252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Евразийской патентной конвенции</w:t>
      </w:r>
    </w:p>
    <w:p>
      <w:pPr>
        <w:spacing w:after="0"/>
        <w:ind w:left="0"/>
        <w:jc w:val="both"/>
      </w:pPr>
      <w:r>
        <w:rPr>
          <w:rFonts w:ascii="Times New Roman"/>
          <w:b w:val="false"/>
          <w:i w:val="false"/>
          <w:color w:val="000000"/>
          <w:sz w:val="28"/>
        </w:rPr>
        <w:t>Указ Президента Республики Казахстан от 18 июля 1995 г. N 2364</w:t>
      </w:r>
    </w:p>
    <w:p>
      <w:pPr>
        <w:spacing w:after="0"/>
        <w:ind w:left="0"/>
        <w:jc w:val="left"/>
      </w:pPr>
      <w:r>
        <w:rPr>
          <w:rFonts w:ascii="Times New Roman"/>
          <w:b w:val="false"/>
          <w:i w:val="false"/>
          <w:color w:val="000000"/>
          <w:sz w:val="28"/>
        </w:rPr>
        <w:t>
</w:t>
      </w:r>
      <w:r>
        <w:rPr>
          <w:rFonts w:ascii="Times New Roman"/>
          <w:b w:val="false"/>
          <w:i w:val="false"/>
          <w:color w:val="000000"/>
          <w:sz w:val="28"/>
        </w:rPr>
        <w:t>
          В соответствии со статьей 2 Закона Республики Казахстан от 10 декабря 
1993 г.  
</w:t>
      </w:r>
      <w:r>
        <w:rPr>
          <w:rFonts w:ascii="Times New Roman"/>
          <w:b w:val="false"/>
          <w:i w:val="false"/>
          <w:color w:val="000000"/>
          <w:sz w:val="28"/>
        </w:rPr>
        <w:t xml:space="preserve"> Z933600_ </w:t>
      </w:r>
      <w:r>
        <w:rPr>
          <w:rFonts w:ascii="Times New Roman"/>
          <w:b w:val="false"/>
          <w:i w:val="false"/>
          <w:color w:val="000000"/>
          <w:sz w:val="28"/>
        </w:rPr>
        <w:t>
  "О временном делегировании Президенту Республики Казахстан 
и главам местных администраций дополнительных полномочий" постановляю:
</w:t>
      </w:r>
      <w:r>
        <w:br/>
      </w:r>
      <w:r>
        <w:rPr>
          <w:rFonts w:ascii="Times New Roman"/>
          <w:b w:val="false"/>
          <w:i w:val="false"/>
          <w:color w:val="000000"/>
          <w:sz w:val="28"/>
        </w:rPr>
        <w:t>
          1. Ратифицировать Евразийскую патентную конвенцию, заключенную главами 
правительств Азербайджанской Республики, Республики Армения, Республики 
Беларусь, Республики Грузия, Республики Казахстан, Кыргызской Республики, 
Республики Молдова, Российской Федерации, Республики Таджикистан, Украины, 
подписанную в Москве 9 сентября 1994 г.
</w:t>
      </w:r>
      <w:r>
        <w:br/>
      </w:r>
      <w:r>
        <w:rPr>
          <w:rFonts w:ascii="Times New Roman"/>
          <w:b w:val="false"/>
          <w:i w:val="false"/>
          <w:color w:val="000000"/>
          <w:sz w:val="28"/>
        </w:rPr>
        <w:t>
          2. Настоящий Указ вступает в силу со дня опубликования.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Президент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ЕВРАЗИЙСКАЯ ПАТЕНТНАЯ КОНВЕНЦИЯ*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(текст неофициальный)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Государства-участники настоящей Конвенции (далее - Договаривающиеся 
государства) в лице Правительств,
</w:t>
      </w:r>
      <w:r>
        <w:br/>
      </w:r>
      <w:r>
        <w:rPr>
          <w:rFonts w:ascii="Times New Roman"/>
          <w:b w:val="false"/>
          <w:i w:val="false"/>
          <w:color w:val="000000"/>
          <w:sz w:val="28"/>
        </w:rPr>
        <w:t>
          руководствуясь желанием укрепить сотрудничество в области охраны 
изобретений,
</w:t>
      </w:r>
      <w:r>
        <w:br/>
      </w:r>
      <w:r>
        <w:rPr>
          <w:rFonts w:ascii="Times New Roman"/>
          <w:b w:val="false"/>
          <w:i w:val="false"/>
          <w:color w:val="000000"/>
          <w:sz w:val="28"/>
        </w:rPr>
        <w:t>
          стремясь создать межгосударственную систему получения такой охраны на 
основе единого патента, действующего на территории всех Договаривающихся 
государств,
</w:t>
      </w:r>
      <w:r>
        <w:br/>
      </w:r>
      <w:r>
        <w:rPr>
          <w:rFonts w:ascii="Times New Roman"/>
          <w:b w:val="false"/>
          <w:i w:val="false"/>
          <w:color w:val="000000"/>
          <w:sz w:val="28"/>
        </w:rPr>
        <w:t>
          желая с этой целью заключить Конвенцию, представляющую собой 
специальное соглашение в соответствии со статьей 19 Парижской конвенции по 
охране промышленной собственности от 20 марта 1883 года и договор о 
региональном патенте в соответствии со статьей 45 (1) Договора о патентной 
кооперации от 19 июня 1970 года,
</w:t>
      </w:r>
      <w:r>
        <w:br/>
      </w:r>
      <w:r>
        <w:rPr>
          <w:rFonts w:ascii="Times New Roman"/>
          <w:b w:val="false"/>
          <w:i w:val="false"/>
          <w:color w:val="000000"/>
          <w:sz w:val="28"/>
        </w:rPr>
        <w:t>
          согласились о нижеследующем: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ЧАСТЬ I
</w:t>
      </w:r>
      <w:r>
        <w:br/>
      </w:r>
      <w:r>
        <w:rPr>
          <w:rFonts w:ascii="Times New Roman"/>
          <w:b w:val="false"/>
          <w:i w:val="false"/>
          <w:color w:val="000000"/>
          <w:sz w:val="28"/>
        </w:rPr>
        <w:t>
                                      ЕВРАЗИЙСКАЯ ПАТЕНТНАЯ СИСТЕМА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Учреждение Евразийской патентной системы
</w:t>
      </w:r>
      <w:r>
        <w:br/>
      </w:r>
      <w:r>
        <w:rPr>
          <w:rFonts w:ascii="Times New Roman"/>
          <w:b w:val="false"/>
          <w:i w:val="false"/>
          <w:color w:val="000000"/>
          <w:sz w:val="28"/>
        </w:rPr>
        <w:t>
          (1) Договаривающиеся государства, сохраняя за собой полный суверенитет 
в части развития своих национальных систем по охране изобретений, настоящим 
учреждают Евразийскую патентную систему.
</w:t>
      </w:r>
      <w:r>
        <w:br/>
      </w:r>
      <w:r>
        <w:rPr>
          <w:rFonts w:ascii="Times New Roman"/>
          <w:b w:val="false"/>
          <w:i w:val="false"/>
          <w:color w:val="000000"/>
          <w:sz w:val="28"/>
        </w:rPr>
        <w:t>
          (2) Никакое положение настоящей Конвенции не должно пониматься как 
ограничение прав, предусмотренных Парижской конвенцией по охране 
промышленной собственности, любого гражданина страны-участницы Парижской 
конвенции или лица, постоянно проживающего в этой стране.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ЧАСТЬ II
</w:t>
      </w:r>
      <w:r>
        <w:br/>
      </w:r>
      <w:r>
        <w:rPr>
          <w:rFonts w:ascii="Times New Roman"/>
          <w:b w:val="false"/>
          <w:i w:val="false"/>
          <w:color w:val="000000"/>
          <w:sz w:val="28"/>
        </w:rPr>
        <w:t>
                                  ЕВРАЗИЙСКАЯ ПАТЕНТНАЯ ОРГАНИЗАЦИЯ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Учреждение Евразийской патентной организации
</w:t>
      </w:r>
      <w:r>
        <w:br/>
      </w:r>
      <w:r>
        <w:rPr>
          <w:rFonts w:ascii="Times New Roman"/>
          <w:b w:val="false"/>
          <w:i w:val="false"/>
          <w:color w:val="000000"/>
          <w:sz w:val="28"/>
        </w:rPr>
        <w:t>
          (1) Для выполнения административных задач, связанных с 
функционированием Евразийской патентной системы и выдачей евразийских 
патентов, учреждается Евразийская патентная организация (далее - Организация).
</w:t>
      </w:r>
      <w:r>
        <w:br/>
      </w:r>
      <w:r>
        <w:rPr>
          <w:rFonts w:ascii="Times New Roman"/>
          <w:b w:val="false"/>
          <w:i w:val="false"/>
          <w:color w:val="000000"/>
          <w:sz w:val="28"/>
        </w:rPr>
        <w:t>
          (2) Все Договаривающиеся государства являются членами Организации.
</w:t>
      </w:r>
      <w:r>
        <w:br/>
      </w:r>
      <w:r>
        <w:rPr>
          <w:rFonts w:ascii="Times New Roman"/>
          <w:b w:val="false"/>
          <w:i w:val="false"/>
          <w:color w:val="000000"/>
          <w:sz w:val="28"/>
        </w:rPr>
        <w:t>
          (3) Органами Организации являются Административный совет и Евразийское 
патентное ведомство (далее - Евразийское ведомство).
</w:t>
      </w:r>
      <w:r>
        <w:br/>
      </w:r>
      <w:r>
        <w:rPr>
          <w:rFonts w:ascii="Times New Roman"/>
          <w:b w:val="false"/>
          <w:i w:val="false"/>
          <w:color w:val="000000"/>
          <w:sz w:val="28"/>
        </w:rPr>
        <w:t>
          (4) Евразийское ведомство возглавляет Президент, который является 
высшим должностным лицом Организации и представляет Организацию.
</w:t>
      </w:r>
      <w:r>
        <w:br/>
      </w:r>
      <w:r>
        <w:rPr>
          <w:rFonts w:ascii="Times New Roman"/>
          <w:b w:val="false"/>
          <w:i w:val="false"/>
          <w:color w:val="000000"/>
          <w:sz w:val="28"/>
        </w:rPr>
        <w:t>
          (5) Организация является межправительственной организацией, имеющей 
статус юридического лица. Организация обладает в каждом Договаривающемся 
государстве правоспособностью, которая признана за юридическими лицами в 
соответствии с национальным законодательством данного государства. 
Организация может приобретать и распоряжаться движимым и недвижимым 
имуществом и защищать свои права в суде. Местонахождение штаб-квартиры 
Организации - город Москва, Российская Федерация. 
</w:t>
      </w:r>
      <w:r>
        <w:br/>
      </w:r>
      <w:r>
        <w:rPr>
          <w:rFonts w:ascii="Times New Roman"/>
          <w:b w:val="false"/>
          <w:i w:val="false"/>
          <w:color w:val="000000"/>
          <w:sz w:val="28"/>
        </w:rPr>
        <w:t>
          (6) Официальным языком Организации является русский язык.
</w:t>
      </w:r>
      <w:r>
        <w:br/>
      </w:r>
      <w:r>
        <w:rPr>
          <w:rFonts w:ascii="Times New Roman"/>
          <w:b w:val="false"/>
          <w:i w:val="false"/>
          <w:color w:val="000000"/>
          <w:sz w:val="28"/>
        </w:rPr>
        <w:t>
          (7) Организация, полномочные представители Договаривающихся государств 
и их заместители, служащие Евразийского ведомства и другие лица, 
привлекаемые для решения задач Организации, обладают на территории каждого 
из Договаривающихся государств соответствующими правами, привилегиями и 
иммунитетами, которые предоставляются таким государством любой другой 
международной организации и ее служащим, а на территории Российской 
Федерации, кроме того, регулируются специальным соглашением о штаб-квартире 
Организации, заключаемом Организацией с Правительством Российской Федерации.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Административный совет
</w:t>
      </w:r>
      <w:r>
        <w:br/>
      </w:r>
      <w:r>
        <w:rPr>
          <w:rFonts w:ascii="Times New Roman"/>
          <w:b w:val="false"/>
          <w:i w:val="false"/>
          <w:color w:val="000000"/>
          <w:sz w:val="28"/>
        </w:rPr>
        <w:t>
          (1) Каждое Договаривающееся государство представлено в 
Административном совете. Каждое Договаривающееся государство имеет в 
Административном совете один голос. Кворум составляет две трети от числа 
Договаривающихся государств. Решения принимаются на основе консенсуса или, 
если консенсус не может быть достигнут простым большинством участвующих в 
голосовании полномочных представителей Договаривающихся государств, за 
исключением случаев, когда настоящей Конвенцией предусматривается 
единогласие или большинство в две трети голосов.
</w:t>
      </w:r>
      <w:r>
        <w:br/>
      </w:r>
      <w:r>
        <w:rPr>
          <w:rFonts w:ascii="Times New Roman"/>
          <w:b w:val="false"/>
          <w:i w:val="false"/>
          <w:color w:val="000000"/>
          <w:sz w:val="28"/>
        </w:rPr>
        <w:t>
          (2) Административный совет собирается на очередное заседание в каждом 
календарном году и на внеочередное заседание - по инициативе по меньшей 
мере трех Договаривающихся государств, Председателя Административного 
совета или Президента Евразийского ведомства. Заседания созываются 
Президентом Евразийского ведомства.
</w:t>
      </w:r>
      <w:r>
        <w:br/>
      </w:r>
      <w:r>
        <w:rPr>
          <w:rFonts w:ascii="Times New Roman"/>
          <w:b w:val="false"/>
          <w:i w:val="false"/>
          <w:color w:val="000000"/>
          <w:sz w:val="28"/>
        </w:rPr>
        <w:t>
          (3) Административный совет:
</w:t>
      </w:r>
      <w:r>
        <w:br/>
      </w:r>
      <w:r>
        <w:rPr>
          <w:rFonts w:ascii="Times New Roman"/>
          <w:b w:val="false"/>
          <w:i w:val="false"/>
          <w:color w:val="000000"/>
          <w:sz w:val="28"/>
        </w:rPr>
        <w:t>
          (i) утверждает свои Правила процедуры;
</w:t>
      </w:r>
      <w:r>
        <w:br/>
      </w:r>
      <w:r>
        <w:rPr>
          <w:rFonts w:ascii="Times New Roman"/>
          <w:b w:val="false"/>
          <w:i w:val="false"/>
          <w:color w:val="000000"/>
          <w:sz w:val="28"/>
        </w:rPr>
        <w:t>
          (ii) избирает Председателя Административного совета на возобновляемый 
двухлетний срок;
</w:t>
      </w:r>
      <w:r>
        <w:br/>
      </w:r>
      <w:r>
        <w:rPr>
          <w:rFonts w:ascii="Times New Roman"/>
          <w:b w:val="false"/>
          <w:i w:val="false"/>
          <w:color w:val="000000"/>
          <w:sz w:val="28"/>
        </w:rPr>
        <w:t>
          (iii) назначает Президента Евразийского ведомства на возобновляемый 
шестилетний срок; условия назначения регулируются в контракте между
Организацией и будущим Президентом;
</w:t>
      </w:r>
      <w:r>
        <w:br/>
      </w:r>
      <w:r>
        <w:rPr>
          <w:rFonts w:ascii="Times New Roman"/>
          <w:b w:val="false"/>
          <w:i w:val="false"/>
          <w:color w:val="000000"/>
          <w:sz w:val="28"/>
        </w:rPr>
        <w:t>
          (iv) дает рекомендации Президенту Евразийского ведомства в отношении 
назначения Президентом вице-президентов Евразийского ведомства;
</w:t>
      </w:r>
      <w:r>
        <w:br/>
      </w:r>
      <w:r>
        <w:rPr>
          <w:rFonts w:ascii="Times New Roman"/>
          <w:b w:val="false"/>
          <w:i w:val="false"/>
          <w:color w:val="000000"/>
          <w:sz w:val="28"/>
        </w:rPr>
        <w:t>
          (v) одобряет соглашение о штаб-квартире Организации, заключаемое 
Организацией с Правительством Российской Федерации;
</w:t>
      </w:r>
      <w:r>
        <w:br/>
      </w:r>
      <w:r>
        <w:rPr>
          <w:rFonts w:ascii="Times New Roman"/>
          <w:b w:val="false"/>
          <w:i w:val="false"/>
          <w:color w:val="000000"/>
          <w:sz w:val="28"/>
        </w:rPr>
        <w:t>
          (vi) одобряет соглашения, заключаемые Оргазацией с государствами и 
международными организациями;
</w:t>
      </w:r>
      <w:r>
        <w:br/>
      </w:r>
      <w:r>
        <w:rPr>
          <w:rFonts w:ascii="Times New Roman"/>
          <w:b w:val="false"/>
          <w:i w:val="false"/>
          <w:color w:val="000000"/>
          <w:sz w:val="28"/>
        </w:rPr>
        <w:t>
          (vii) утверждает большинством в две трети голосов Патентную инструкцию,
Финансовую инструкцию и Административную инструкцию;
</w:t>
      </w:r>
      <w:r>
        <w:br/>
      </w:r>
      <w:r>
        <w:rPr>
          <w:rFonts w:ascii="Times New Roman"/>
          <w:b w:val="false"/>
          <w:i w:val="false"/>
          <w:color w:val="000000"/>
          <w:sz w:val="28"/>
        </w:rPr>
        <w:t>
          (viii) принимает большинством в две трети голосов годовой бюджет, 
рассматривает годовой отчет и одобряет годовые счета Организации;
</w:t>
      </w:r>
      <w:r>
        <w:br/>
      </w:r>
      <w:r>
        <w:rPr>
          <w:rFonts w:ascii="Times New Roman"/>
          <w:b w:val="false"/>
          <w:i w:val="false"/>
          <w:color w:val="000000"/>
          <w:sz w:val="28"/>
        </w:rPr>
        <w:t>
          (ix) осуществляет другие действия, направленные на решение задач 
Организации.
</w:t>
      </w:r>
      <w:r>
        <w:br/>
      </w:r>
      <w:r>
        <w:rPr>
          <w:rFonts w:ascii="Times New Roman"/>
          <w:b w:val="false"/>
          <w:i w:val="false"/>
          <w:color w:val="000000"/>
          <w:sz w:val="28"/>
        </w:rPr>
        <w:t>
          (4) Всемирная организация интеллектуальной собственности (далее - ВОИС)
принимает участие в заседаниях Административного совета с правом 
совещательного голоса в соответствии с положениями соглашения, заключаемого 
между Организацией и ВОИС.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Евразийское ведомство
</w:t>
      </w:r>
      <w:r>
        <w:br/>
      </w:r>
      <w:r>
        <w:rPr>
          <w:rFonts w:ascii="Times New Roman"/>
          <w:b w:val="false"/>
          <w:i w:val="false"/>
          <w:color w:val="000000"/>
          <w:sz w:val="28"/>
        </w:rPr>
        <w:t>
          (1) Евразийское ведомство выполняет все административные функции 
Организации. Оно является секретариатом Организации.
</w:t>
      </w:r>
      <w:r>
        <w:br/>
      </w:r>
      <w:r>
        <w:rPr>
          <w:rFonts w:ascii="Times New Roman"/>
          <w:b w:val="false"/>
          <w:i w:val="false"/>
          <w:color w:val="000000"/>
          <w:sz w:val="28"/>
        </w:rPr>
        <w:t>
          (2) Президент Евразийского ведомства определяет его структуру и 
назначает персонал. Он может участвовать во всех заседаниях 
Административного совета.
</w:t>
      </w:r>
      <w:r>
        <w:br/>
      </w:r>
      <w:r>
        <w:rPr>
          <w:rFonts w:ascii="Times New Roman"/>
          <w:b w:val="false"/>
          <w:i w:val="false"/>
          <w:color w:val="000000"/>
          <w:sz w:val="28"/>
        </w:rPr>
        <w:t>
          (3) Каждое Договаривающееся государство имеет свою квоту в штате 
Евразийского ведомства, которая определяется Административной инструкцией.
</w:t>
      </w:r>
      <w:r>
        <w:br/>
      </w:r>
      <w:r>
        <w:rPr>
          <w:rFonts w:ascii="Times New Roman"/>
          <w:b w:val="false"/>
          <w:i w:val="false"/>
          <w:color w:val="000000"/>
          <w:sz w:val="28"/>
        </w:rPr>
        <w:t>
          (4) Евразийское ведомство находится в городе Москве, Российская 
Федерация.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Финансы
</w:t>
      </w:r>
      <w:r>
        <w:br/>
      </w:r>
      <w:r>
        <w:rPr>
          <w:rFonts w:ascii="Times New Roman"/>
          <w:b w:val="false"/>
          <w:i w:val="false"/>
          <w:color w:val="000000"/>
          <w:sz w:val="28"/>
        </w:rPr>
        <w:t>
          (1) Организация является самофинансируемой в том смысле, что ее 
расходы покрываются за счет пошлин и других получаемых ею доходов. Никакое 
Договаривающееся государство не может быть обязано уплачивать взносы в 
Организацию.
</w:t>
      </w:r>
      <w:r>
        <w:br/>
      </w:r>
      <w:r>
        <w:rPr>
          <w:rFonts w:ascii="Times New Roman"/>
          <w:b w:val="false"/>
          <w:i w:val="false"/>
          <w:color w:val="000000"/>
          <w:sz w:val="28"/>
        </w:rPr>
        <w:t>
          (2) Бюджет Организации формируется из следующих источников:
</w:t>
      </w:r>
      <w:r>
        <w:br/>
      </w:r>
      <w:r>
        <w:rPr>
          <w:rFonts w:ascii="Times New Roman"/>
          <w:b w:val="false"/>
          <w:i w:val="false"/>
          <w:color w:val="000000"/>
          <w:sz w:val="28"/>
        </w:rPr>
        <w:t>
          (i) поступлений от пошлин и платежей за услуги, предоставляемые 
Евразийским ведомством;
</w:t>
      </w:r>
      <w:r>
        <w:br/>
      </w:r>
      <w:r>
        <w:rPr>
          <w:rFonts w:ascii="Times New Roman"/>
          <w:b w:val="false"/>
          <w:i w:val="false"/>
          <w:color w:val="000000"/>
          <w:sz w:val="28"/>
        </w:rPr>
        <w:t>
          (ii) поступлений от издательской деятельности Евразийского ведомства;
</w:t>
      </w:r>
      <w:r>
        <w:br/>
      </w:r>
      <w:r>
        <w:rPr>
          <w:rFonts w:ascii="Times New Roman"/>
          <w:b w:val="false"/>
          <w:i w:val="false"/>
          <w:color w:val="000000"/>
          <w:sz w:val="28"/>
        </w:rPr>
        <w:t>
          (iii) даров, завещанных средств и субсидий, передаваемых Организации;
</w:t>
      </w:r>
      <w:r>
        <w:br/>
      </w:r>
      <w:r>
        <w:rPr>
          <w:rFonts w:ascii="Times New Roman"/>
          <w:b w:val="false"/>
          <w:i w:val="false"/>
          <w:color w:val="000000"/>
          <w:sz w:val="28"/>
        </w:rPr>
        <w:t>
          (iv) ренты, процентов и различных других доходов Организации.
</w:t>
      </w:r>
      <w:r>
        <w:br/>
      </w:r>
      <w:r>
        <w:rPr>
          <w:rFonts w:ascii="Times New Roman"/>
          <w:b w:val="false"/>
          <w:i w:val="false"/>
          <w:color w:val="000000"/>
          <w:sz w:val="28"/>
        </w:rPr>
        <w:t>
          (3) Превышение доходной части бюджета Организации над расходной 
используется для развития Евразийского ведомства.
</w:t>
      </w:r>
      <w:r>
        <w:br/>
      </w:r>
      <w:r>
        <w:rPr>
          <w:rFonts w:ascii="Times New Roman"/>
          <w:b w:val="false"/>
          <w:i w:val="false"/>
          <w:color w:val="000000"/>
          <w:sz w:val="28"/>
        </w:rPr>
        <w:t>
          (4) Соглашение о штаб-квартире Организации, упоминаемое в статье 
3(3)(v), должно предусматривать, что в случаях, когда финансовых средств 
Организации недостаточно для ее деятельности, Российская Федерация 
предоставляет Организации авансы. Размеры этих авансов и условия, на 
которых они предоставляются, в каждом случае являются предметом отдельных 
соглашений между Организацией и Правительством Российской Федерации.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ЧАСТЬ III
</w:t>
      </w:r>
      <w:r>
        <w:br/>
      </w:r>
      <w:r>
        <w:rPr>
          <w:rFonts w:ascii="Times New Roman"/>
          <w:b w:val="false"/>
          <w:i w:val="false"/>
          <w:color w:val="000000"/>
          <w:sz w:val="28"/>
        </w:rPr>
        <w:t>
                                МАТЕРИАЛЬНЫЕ НОРМЫ ПАТЕНТНОГО ПРАВА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Патентоспособные изобретения
</w:t>
      </w:r>
      <w:r>
        <w:br/>
      </w:r>
      <w:r>
        <w:rPr>
          <w:rFonts w:ascii="Times New Roman"/>
          <w:b w:val="false"/>
          <w:i w:val="false"/>
          <w:color w:val="000000"/>
          <w:sz w:val="28"/>
        </w:rPr>
        <w:t>
          Евразийское ведомство выдает евразийский патент на изобретение, 
которое является новым, имеет изобретательский уровень и промышленно 
применимо.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Лица, обладающие правом на евразийский патент
</w:t>
      </w:r>
      <w:r>
        <w:br/>
      </w:r>
      <w:r>
        <w:rPr>
          <w:rFonts w:ascii="Times New Roman"/>
          <w:b w:val="false"/>
          <w:i w:val="false"/>
          <w:color w:val="000000"/>
          <w:sz w:val="28"/>
        </w:rPr>
        <w:t>
          (1) Право на евразийский патент принадлежит изобретателю или его 
правопреемнику. При этом, если изобретатель является служащим, то право на 
евразийский патент определяется в соответствии с законодательством 
государства, в котором служащий имеет основное место службы; если 
государство, в котором служащий имеет основное место службы, не может быть 
определено, применяется законодательство того государства, в котором 
работодатель занимается предпринимательской деятельностью, с которой связан 
служащий.
</w:t>
      </w:r>
      <w:r>
        <w:br/>
      </w:r>
      <w:r>
        <w:rPr>
          <w:rFonts w:ascii="Times New Roman"/>
          <w:b w:val="false"/>
          <w:i w:val="false"/>
          <w:color w:val="000000"/>
          <w:sz w:val="28"/>
        </w:rPr>
        <w:t>
          (2) Для целей процедуры в Евразийском ведомстве заявитель считается 
имеющим право на получение евразийского патента.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8. Право приоритета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Право приоритета признается в соответствии с Парижской конвенцией по 
охране промышленной собственности.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 Патентные права
</w:t>
      </w:r>
      <w:r>
        <w:br/>
      </w:r>
      <w:r>
        <w:rPr>
          <w:rFonts w:ascii="Times New Roman"/>
          <w:b w:val="false"/>
          <w:i w:val="false"/>
          <w:color w:val="000000"/>
          <w:sz w:val="28"/>
        </w:rPr>
        <w:t>
          (1) Владелец евразийского патента обладает исключительным правом 
использовать, а также разрешать или запрещать другим использование 
запатентованного изобретения.
</w:t>
      </w:r>
      <w:r>
        <w:br/>
      </w:r>
      <w:r>
        <w:rPr>
          <w:rFonts w:ascii="Times New Roman"/>
          <w:b w:val="false"/>
          <w:i w:val="false"/>
          <w:color w:val="000000"/>
          <w:sz w:val="28"/>
        </w:rPr>
        <w:t>
          (2) Владелец евразийского патента может передавать свое право или 
выдавать на него лицензии.
</w:t>
      </w:r>
      <w:r>
        <w:br/>
      </w:r>
      <w:r>
        <w:rPr>
          <w:rFonts w:ascii="Times New Roman"/>
          <w:b w:val="false"/>
          <w:i w:val="false"/>
          <w:color w:val="000000"/>
          <w:sz w:val="28"/>
        </w:rPr>
        <w:t>
          (3) После опубликования заявки на выдачу евразийского патента (далее - 
евразийская заявка) заявителю предоставляется временная охрана в 
соответствии с национальным законодательством Договаривающихся государств.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 Объем правовой охраны
</w:t>
      </w:r>
      <w:r>
        <w:br/>
      </w:r>
      <w:r>
        <w:rPr>
          <w:rFonts w:ascii="Times New Roman"/>
          <w:b w:val="false"/>
          <w:i w:val="false"/>
          <w:color w:val="000000"/>
          <w:sz w:val="28"/>
        </w:rPr>
        <w:t>
          Объем правовой охраны, предоставляемой евразийским патентом, 
определяется формулой изобретения. Описание и чертежи служат только для 
целей толкования формулы изобретения.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 Срок действия евразийского патента
</w:t>
      </w:r>
      <w:r>
        <w:br/>
      </w:r>
      <w:r>
        <w:rPr>
          <w:rFonts w:ascii="Times New Roman"/>
          <w:b w:val="false"/>
          <w:i w:val="false"/>
          <w:color w:val="000000"/>
          <w:sz w:val="28"/>
        </w:rPr>
        <w:t>
          Срок действия евразийского патента составляет 20 лет с даты подачи 
евразийской заявки.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12. Принудительные лицензии
</w:t>
      </w:r>
      <w:r>
        <w:br/>
      </w:r>
      <w:r>
        <w:rPr>
          <w:rFonts w:ascii="Times New Roman"/>
          <w:b w:val="false"/>
          <w:i w:val="false"/>
          <w:color w:val="000000"/>
          <w:sz w:val="28"/>
        </w:rPr>
        <w:t>
          (1) Принудительные лицензии на использование евразийского патента 
третьими лицами могут выдаваться в соответствии с Парижской конвенцией по 
охране промышленной собственности компетентным органом Договаривающегося 
государства с действием на территории данного государства.
</w:t>
      </w:r>
      <w:r>
        <w:br/>
      </w:r>
      <w:r>
        <w:rPr>
          <w:rFonts w:ascii="Times New Roman"/>
          <w:b w:val="false"/>
          <w:i w:val="false"/>
          <w:color w:val="000000"/>
          <w:sz w:val="28"/>
        </w:rPr>
        <w:t>
          (2) Решение о выдачи принудительной лицензии может быть обжаловано в 
судах или других компетентных органах Договаривающегося государства, на 
территории которого выдана принудительная лицензия.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13.  Действительность евразийского патента
</w:t>
      </w:r>
      <w:r>
        <w:br/>
      </w:r>
      <w:r>
        <w:rPr>
          <w:rFonts w:ascii="Times New Roman"/>
          <w:b w:val="false"/>
          <w:i w:val="false"/>
          <w:color w:val="000000"/>
          <w:sz w:val="28"/>
        </w:rPr>
        <w:t>
                                  и осуществление прав
</w:t>
      </w:r>
      <w:r>
        <w:br/>
      </w:r>
      <w:r>
        <w:rPr>
          <w:rFonts w:ascii="Times New Roman"/>
          <w:b w:val="false"/>
          <w:i w:val="false"/>
          <w:color w:val="000000"/>
          <w:sz w:val="28"/>
        </w:rPr>
        <w:t>
          (1) Любой спор, касающийся действительности евразийского патента в 
конкретном Договаривающемся государстве или нарушения евразийского патента 
в конкретном Договаривающемся государстве, разрешается национальными судами 
или другими компетентными органами этого государства на основании настоящей 
Конвенции и Патентной инструкции. Решение имеет силу лишь на территории 
Договаривающегося Государства.
</w:t>
      </w:r>
      <w:r>
        <w:br/>
      </w:r>
      <w:r>
        <w:rPr>
          <w:rFonts w:ascii="Times New Roman"/>
          <w:b w:val="false"/>
          <w:i w:val="false"/>
          <w:color w:val="000000"/>
          <w:sz w:val="28"/>
        </w:rPr>
        <w:t>
          (2) За нарушение евразийского патента в каждом Договаривающемся 
государстве предусматривается такая же гражданско-правовая или иная 
ответственность, как и за нарушение национального патента.
</w:t>
      </w:r>
      <w:r>
        <w:br/>
      </w:r>
      <w:r>
        <w:rPr>
          <w:rFonts w:ascii="Times New Roman"/>
          <w:b w:val="false"/>
          <w:i w:val="false"/>
          <w:color w:val="000000"/>
          <w:sz w:val="28"/>
        </w:rPr>
        <w:t>
          (3) Любой национальный суд или другой компетентный орган 
Договаривающегося государства может потребовать, чтобы истец представил ему 
перевод евразийского патента на государственный язык данного 
Договаривающегося государства.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Статья 14. Патентная инструкция. Материальные нормы
     Патентная инструкция содержит детали, касающиеся материальных норм 
патентного права, включая, в частности, следующее:
     (i) определение условий патентоспособности изобретения, включая 
определение новизны, изобретательского уровня и промышленной применимости, 
а также требований о раскрытии изобретения;
     (ii) обстоятельства, не препятствующие признанию патентоспособности 
изобретения;
     (iii) требование единства изобретения;
     (iv) определение и действие права приоритета;
     (v) определение исключительного права на запатентованное изобретение;
     (vi) право преждепользования;
     (vii) толкование формулы изобретения;
     (viii) право изобретателя быть упомянутым в евразийской заявке и 
евразийском патенте;
     (ix) правопреемство и другие виды передачи права на евразийскую заявку 
или евразийский патент;
     (x) конфиденциальность делопроизводства по евразийским заявкам.
                             ЧАСТЬ IV
                ПРОЦЕДУРНЫЕ НОРМЫ ПАТЕНТНОГО ПРАВА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15. Евразийская заявка и выдача евразийского патента
</w:t>
      </w:r>
      <w:r>
        <w:br/>
      </w:r>
      <w:r>
        <w:rPr>
          <w:rFonts w:ascii="Times New Roman"/>
          <w:b w:val="false"/>
          <w:i w:val="false"/>
          <w:color w:val="000000"/>
          <w:sz w:val="28"/>
        </w:rPr>
        <w:t>
          (1) Евразийская заявка может быть подана:
</w:t>
      </w:r>
      <w:r>
        <w:br/>
      </w:r>
      <w:r>
        <w:rPr>
          <w:rFonts w:ascii="Times New Roman"/>
          <w:b w:val="false"/>
          <w:i w:val="false"/>
          <w:color w:val="000000"/>
          <w:sz w:val="28"/>
        </w:rPr>
        <w:t>
          (i) в Евразийское ведомство с учетом положений подпункта (ii) 
настоящей статьи;
</w:t>
      </w:r>
      <w:r>
        <w:br/>
      </w:r>
      <w:r>
        <w:rPr>
          <w:rFonts w:ascii="Times New Roman"/>
          <w:b w:val="false"/>
          <w:i w:val="false"/>
          <w:color w:val="000000"/>
          <w:sz w:val="28"/>
        </w:rPr>
        <w:t>
      (ii) для заявителей Договаривающегося государства евразийская заявка 
подается через национальное патентное ведомство Договаривающегося 
государства (далее - национальное ведомство), если это предусмотрено 
законодательством данного государства. Евразийская заявка, поданная через 
национальное ведомство, имеет те же последствия, как если бы она была 
подана в тот же день в Евразийское ведомство, если она переслана в 
Евразийское ведомство в срок, установленный в Патентной инструкции. 
Национальное ведомство проверяет соответствие этой заявки требованиям, 
установленным настоящей Конвенцией и Патентной инструкцией для экспертизы 
евразийской заявки по формальным признакам, и, если оно сочтет, что заявка 
соответствует указанным требованиям, пересылает заявку в Евразийское 
ведомство для ведения дальнейшего делопроизводства. 
</w:t>
      </w:r>
      <w:r>
        <w:br/>
      </w:r>
      <w:r>
        <w:rPr>
          <w:rFonts w:ascii="Times New Roman"/>
          <w:b w:val="false"/>
          <w:i w:val="false"/>
          <w:color w:val="000000"/>
          <w:sz w:val="28"/>
        </w:rPr>
        <w:t>
          (2) Если евразийская заявка подается в Евразийское ведомство, при 
подаче Евразийскому ведомству уплачивается единая процедурная пошлина за 
подачу заявки, поиск, публикацию и другие процедурные действия. Если 
евразийская заявка подается через национальное ведомство, при подаче 
национальному ведомству уплачивается пошлина за проверку заявки на 
соответствие требованиям экспертизы по формальным признакам и пересылку, в 
то время, как единая процедурная пошлина уплачивается Евразийскому ведомству 
при пересылке евразийской заявки в это ведомство.
</w:t>
      </w:r>
      <w:r>
        <w:br/>
      </w:r>
      <w:r>
        <w:rPr>
          <w:rFonts w:ascii="Times New Roman"/>
          <w:b w:val="false"/>
          <w:i w:val="false"/>
          <w:color w:val="000000"/>
          <w:sz w:val="28"/>
        </w:rPr>
        <w:t>
          (3) Евразийское ведомство проверяет соответствие евразийской заявки 
формальным требованиям Конвенции и Патентной инструкции и проводит поиск по 
этой заявке. По результатам поиска составляется отчет о поиске, который 
высылается заявителю.
</w:t>
      </w:r>
      <w:r>
        <w:br/>
      </w:r>
      <w:r>
        <w:rPr>
          <w:rFonts w:ascii="Times New Roman"/>
          <w:b w:val="false"/>
          <w:i w:val="false"/>
          <w:color w:val="000000"/>
          <w:sz w:val="28"/>
        </w:rPr>
        <w:t>
          (4) Евразийская заявка публикуется Евразийским ведомством вместе с 
отчетом о поиске незамедлительно по истечении 18 месяцев с даты ее подачи 
или, если испрошен приоритет, с даты приоритета. По ходатайству заявителя 
Евразийское ведомство публикует евразийскую заявку ранее указанного срока. 
В этом случае отчет о поиске публикуется отдельно по его поступлении.
</w:t>
      </w:r>
      <w:r>
        <w:br/>
      </w:r>
      <w:r>
        <w:rPr>
          <w:rFonts w:ascii="Times New Roman"/>
          <w:b w:val="false"/>
          <w:i w:val="false"/>
          <w:color w:val="000000"/>
          <w:sz w:val="28"/>
        </w:rPr>
        <w:t>
          (5) По ходатайству заявителя, которое должно быть подано в Евразийское 
ведомство до истечения шести месяцев с даты публикации отчета о поиске, 
Евразийское ведомство проводит экспертизу евразийской заявки по существу.
</w:t>
      </w:r>
      <w:r>
        <w:br/>
      </w:r>
      <w:r>
        <w:rPr>
          <w:rFonts w:ascii="Times New Roman"/>
          <w:b w:val="false"/>
          <w:i w:val="false"/>
          <w:color w:val="000000"/>
          <w:sz w:val="28"/>
        </w:rPr>
        <w:t>
          (6) В случае подачи ходатайства, упомянутого в пункте (5) настоящей 
статьи, взимается пошлина за экспертизу, уплачиваемая Евразийскому ведомству.
</w:t>
      </w:r>
      <w:r>
        <w:br/>
      </w:r>
      <w:r>
        <w:rPr>
          <w:rFonts w:ascii="Times New Roman"/>
          <w:b w:val="false"/>
          <w:i w:val="false"/>
          <w:color w:val="000000"/>
          <w:sz w:val="28"/>
        </w:rPr>
        <w:t>
          (7) Решение о выдаче или об отказе в выдаче евразийского патента 
принимается от имени Евразийского ведомства коллегиями, состоящими каждая 
из трех экспертов, являющихся штатными сотрудниками Евразийского ведомства 
и, если иной порядок не принят единогласно Административным советом, 
гражданами различных Договаривающихся государств. 
</w:t>
      </w:r>
      <w:r>
        <w:br/>
      </w:r>
      <w:r>
        <w:rPr>
          <w:rFonts w:ascii="Times New Roman"/>
          <w:b w:val="false"/>
          <w:i w:val="false"/>
          <w:color w:val="000000"/>
          <w:sz w:val="28"/>
        </w:rPr>
        <w:t>
        (8) При несогласии с решением Евразийского ведомства об отказе в выдаче 
евразийского патента заявитель может в трехмесячный срок с даты получения 
уведомления об этом отказе подать Евразийскому ведомству возражение, 
которое должно быть рассмотрено коллегией Евразийского ведомства, 
сформированной в соответствии с пунктом (7) настоящей статьи. В состав 
коллегии должны входить, по крайней мере, два эксперта, которые ранее не 
принимали решение по существу данного возражения. 
</w:t>
      </w:r>
      <w:r>
        <w:br/>
      </w:r>
      <w:r>
        <w:rPr>
          <w:rFonts w:ascii="Times New Roman"/>
          <w:b w:val="false"/>
          <w:i w:val="false"/>
          <w:color w:val="000000"/>
          <w:sz w:val="28"/>
        </w:rPr>
        <w:t>
          (9) За подачу упомянутого в пункте (8) настоящей статьи возражения 
взимается пошлина, уплачиваемая Евразийскому ведомству.
</w:t>
      </w:r>
      <w:r>
        <w:br/>
      </w:r>
      <w:r>
        <w:rPr>
          <w:rFonts w:ascii="Times New Roman"/>
          <w:b w:val="false"/>
          <w:i w:val="false"/>
          <w:color w:val="000000"/>
          <w:sz w:val="28"/>
        </w:rPr>
        <w:t>
          (10) За выдачу евразийского патента Евразийскому ведомству 
уплачивается пошлина в течение трех месяцев с даты получения заявителем 
уведомления Евразийского ведомства о готовности выдать евразийский патент.
</w:t>
      </w:r>
      <w:r>
        <w:br/>
      </w:r>
      <w:r>
        <w:rPr>
          <w:rFonts w:ascii="Times New Roman"/>
          <w:b w:val="false"/>
          <w:i w:val="false"/>
          <w:color w:val="000000"/>
          <w:sz w:val="28"/>
        </w:rPr>
        <w:t>
          (11) С учетом положений статьи 17, евразийский патент имеет действие 
на территории всех Договаривающихся государств с даты его публикации.
</w:t>
      </w:r>
      <w:r>
        <w:br/>
      </w:r>
      <w:r>
        <w:rPr>
          <w:rFonts w:ascii="Times New Roman"/>
          <w:b w:val="false"/>
          <w:i w:val="false"/>
          <w:color w:val="000000"/>
          <w:sz w:val="28"/>
        </w:rPr>
        <w:t>
          (12) Любое лицо, имеющее право быть представителем перед национальным 
ведомством Договаривающегося государства и зарегистрированное в Евразийском 
ведомстве в качестве патентного поверенного, может выступать представителем 
перед Евразийским ведомством. Если заявитель не имеет постоянного 
местожительства или постоянного местонахождения на территории какого-либо 
Договаривающегося государства, он должен быть представлен таким патентным 
поверенным. Лица, имеющие постоянное местожительство или постоянное 
местонахождение на территории какого-либо из Договаривающихся государств, 
могут подавать евразийские заявки, а также вести дела с Евразийским 
ведомством как самостоятельно, так и через патентных поверенных или 
представителей, не являющихся патентными поверенными.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16. Преобразование евразийских заявок в национальные
</w:t>
      </w:r>
      <w:r>
        <w:br/>
      </w:r>
      <w:r>
        <w:rPr>
          <w:rFonts w:ascii="Times New Roman"/>
          <w:b w:val="false"/>
          <w:i w:val="false"/>
          <w:color w:val="000000"/>
          <w:sz w:val="28"/>
        </w:rPr>
        <w:t>
                                патентные заявки
</w:t>
      </w:r>
      <w:r>
        <w:br/>
      </w:r>
      <w:r>
        <w:rPr>
          <w:rFonts w:ascii="Times New Roman"/>
          <w:b w:val="false"/>
          <w:i w:val="false"/>
          <w:color w:val="000000"/>
          <w:sz w:val="28"/>
        </w:rPr>
        <w:t>
          (1) До истечения шести месяцев с даты получения заявителем уведомления 
Евразийского ведомства об отказе в выдаче евразийского патента либо с даты 
получения заявителем уведомления Евразийского ведомства об отказе в 
удовлетворении возражения, поданного в соответствии со статьей 15(8), 
заявитель может подать в Евразийское ведомство ходатайство с указанием 
Договаривающихся государств, в которых он хочет получить патент по 
национальной процедуре.
</w:t>
      </w:r>
      <w:r>
        <w:br/>
      </w:r>
      <w:r>
        <w:rPr>
          <w:rFonts w:ascii="Times New Roman"/>
          <w:b w:val="false"/>
          <w:i w:val="false"/>
          <w:color w:val="000000"/>
          <w:sz w:val="28"/>
        </w:rPr>
        <w:t>
          (2) В каждом указанном таким образом Договаривающемся государстве 
евразийская заявка, в отношении которой было принято такое решение и 
которая является предметом такого ходайства, считается правильно 
оформленной национальной заявкой, поданной в национальное ведомство с той 
же датой подачи и, если таковая имеется, датой приоритета, что и 
евразийская заявка, со всеми последствиями, предусмотренными национальным 
законодательством, и подлежит дальнейшей процедуре в национальном ведомстве 
при условии, что заявитель уплатит национальному ведомству требуемые 
национальные пошлины.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17. Поддержание евразийских патентов в силе
</w:t>
      </w:r>
      <w:r>
        <w:br/>
      </w:r>
      <w:r>
        <w:rPr>
          <w:rFonts w:ascii="Times New Roman"/>
          <w:b w:val="false"/>
          <w:i w:val="false"/>
          <w:color w:val="000000"/>
          <w:sz w:val="28"/>
        </w:rPr>
        <w:t>
          (1) За поддержание в силе евразийского патента ежегодно уплачиваются 
пошлины.
</w:t>
      </w:r>
      <w:r>
        <w:br/>
      </w:r>
      <w:r>
        <w:rPr>
          <w:rFonts w:ascii="Times New Roman"/>
          <w:b w:val="false"/>
          <w:i w:val="false"/>
          <w:color w:val="000000"/>
          <w:sz w:val="28"/>
        </w:rPr>
        <w:t>
          (2) Пошлины за поддержание евразийского патента в силе уплачивается 
после его выдачи ежегодно на дату, соответствующую дате подачи евразийской 
заявки.
</w:t>
      </w:r>
      <w:r>
        <w:br/>
      </w:r>
      <w:r>
        <w:rPr>
          <w:rFonts w:ascii="Times New Roman"/>
          <w:b w:val="false"/>
          <w:i w:val="false"/>
          <w:color w:val="000000"/>
          <w:sz w:val="28"/>
        </w:rPr>
        <w:t>
          (3) Для продолжения действия евразийского патента в каждом 
Договаривающемся государстве патентовладелец должен указать название 
каждого Договаривающегося государства, в котором он желает продолжения 
действия патента. Такое указание направляется в Евразийское ведомство 
одновременно с уплатой пошлины за поддержание евразийского патента в силе. 
Эта пошлина уплачивается в отношении каждого указанного Договаривающегося 
государства.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18. Пошлины
</w:t>
      </w:r>
      <w:r>
        <w:br/>
      </w:r>
      <w:r>
        <w:rPr>
          <w:rFonts w:ascii="Times New Roman"/>
          <w:b w:val="false"/>
          <w:i w:val="false"/>
          <w:color w:val="000000"/>
          <w:sz w:val="28"/>
        </w:rPr>
        <w:t>
          (1) Пошлины, относящиеся к евразийской заявке или евразийскому патенту,
а также все платежи за услуги, предоставляемые Евразийским ведомством, 
уплачиваются Евразийскому ведомству и, с учетом положений пункта (2) 
настоящей статьи, принадлежат Организации. Пошлина за проверку евразийской 
заявки на соответствие требованиям экспертизы по формальным признакам и 
пересылку, упомянутая в статье 15(2), уплачивается и принадлежит 
национальному ведомству, в которое подана евразийская заявка.
</w:t>
      </w:r>
      <w:r>
        <w:br/>
      </w:r>
      <w:r>
        <w:rPr>
          <w:rFonts w:ascii="Times New Roman"/>
          <w:b w:val="false"/>
          <w:i w:val="false"/>
          <w:color w:val="000000"/>
          <w:sz w:val="28"/>
        </w:rPr>
        <w:t>
          (2) Все пошлины за поддержание евразийского патента в силе 
уплачиваются Евразийскому ведомству. Соотношение долей распределения пошлин 
за поддержание евразийского патента в силе между Организацией и указанными 
Договаривающимися государствами устанавливается Административным советом 
большинством в две трети голосов при условии, что не менее одной пятой от 
размера пошлины, полученной за каждое указанное патентовладельцем 
Договаривающееся государство, принадлежит Организации; оставшаяся часть 
этой пошлины переводится национальному ведомству указанного 
Договаривающегося государства. 
</w:t>
      </w:r>
      <w:r>
        <w:br/>
      </w:r>
      <w:r>
        <w:rPr>
          <w:rFonts w:ascii="Times New Roman"/>
          <w:b w:val="false"/>
          <w:i w:val="false"/>
          <w:color w:val="000000"/>
          <w:sz w:val="28"/>
        </w:rPr>
        <w:t>
          (3) Размеры пошлин за поддержание евразийского патента в силе в 
</w:t>
      </w:r>
      <w:r>
        <w:rPr>
          <w:rFonts w:ascii="Times New Roman"/>
          <w:b w:val="false"/>
          <w:i w:val="false"/>
          <w:color w:val="000000"/>
          <w:sz w:val="28"/>
        </w:rPr>
        <w:t>
</w:t>
      </w:r>
    </w:p>
    <w:p>
      <w:pPr>
        <w:spacing w:after="0"/>
        <w:ind w:left="0"/>
        <w:jc w:val="left"/>
      </w:pPr>
      <w:r>
        <w:rPr>
          <w:rFonts w:ascii="Times New Roman"/>
          <w:b w:val="false"/>
          <w:i w:val="false"/>
          <w:color w:val="000000"/>
          <w:sz w:val="28"/>
        </w:rPr>
        <w:t>
отношении каждого Договаривающегося государства устанавливаются этим 
государством. Валюта, в которой должна быть уплачена пошлина за поддержание 
евразийского патента в силе, устанавливается Административным советом.
     Статья 19. Патентная инструкция. Процедурные нормы
     Патентная инструкция содержит детали, касающиеся евразийской патентной 
процедуры, включая, в частности, следующее:
     (i) требования к форме и содержанию евразийской заявки;
     (ii) требования к патентным поверенным, порядок их аттестации и 
регистрации;
     (iii) дату подачи;
     (iv) исчисление сроков;
     (v) испрашивание приоритета;
     (vi) валюты и порядок уплаты пошлин;
     (vii) изменение или исправление евразийской заявки;
     (viii) патентный поиск и экспертизу;
     (ix) документацию и информационные услуги Евразийского ведомства;
     (x) публикацию евразийских заявок и патентов;
     (xi) Реестр евразийских патентов;
     (xii) Бюллетень евразийского ведомства;
     (xiii) условия и процедуру административного аннулирования евразийских 
патентов;
     (xiv) преобразование евразийских заявок в национальные патентные заявки;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(xv) применение соответствующих положений при наличии нескольких 
изобретателей, заявителей, патентовладельцев или представителей;
</w:t>
      </w:r>
      <w:r>
        <w:br/>
      </w:r>
      <w:r>
        <w:rPr>
          <w:rFonts w:ascii="Times New Roman"/>
          <w:b w:val="false"/>
          <w:i w:val="false"/>
          <w:color w:val="000000"/>
          <w:sz w:val="28"/>
        </w:rPr>
        <w:t>
          (xvi) контакты Евразийского ведомства с заявителями, 
патентовладельцами, патентными поверенными и другими третьими лицами и 
порядок ознакомления указанных лиц с документами Евразийского ведомства.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ЧАСТЬ V
</w:t>
      </w:r>
      <w:r>
        <w:br/>
      </w:r>
      <w:r>
        <w:rPr>
          <w:rFonts w:ascii="Times New Roman"/>
          <w:b w:val="false"/>
          <w:i w:val="false"/>
          <w:color w:val="000000"/>
          <w:sz w:val="28"/>
        </w:rPr>
        <w:t>
                  ПРИМЕНЕНИЕ ДОГОВОРА О ПАТЕНТНОЙ КООПЕРАЦИИ (РСТ)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20. Применение Договора о патентной кооперации
</w:t>
      </w:r>
      <w:r>
        <w:br/>
      </w:r>
      <w:r>
        <w:rPr>
          <w:rFonts w:ascii="Times New Roman"/>
          <w:b w:val="false"/>
          <w:i w:val="false"/>
          <w:color w:val="000000"/>
          <w:sz w:val="28"/>
        </w:rPr>
        <w:t>
          Договор о патентной кооперации и Инструкция к нему применяются в 
рамках Евразийской патентной системы, а в случае расхождения между ними и 
настоящей Конвенцией и Инструкцией, применяются первые. Евразийское 
ведомство является получающим ведомством, а также указанным и выбранным 
ведомством в соответствии с Договором о патентной кооперации, и может по 
уполномочию Административного совета испрашивать статус Международного 
поискового органа и Органа международной предварительной экспертизы в 
соответствии с указанным Договором.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ЧАСТЬ VI
</w:t>
      </w:r>
      <w:r>
        <w:br/>
      </w:r>
      <w:r>
        <w:rPr>
          <w:rFonts w:ascii="Times New Roman"/>
          <w:b w:val="false"/>
          <w:i w:val="false"/>
          <w:color w:val="000000"/>
          <w:sz w:val="28"/>
        </w:rPr>
        <w:t>
                                              ПЕРЕХОДНЫЕ ПОЛОЖЕНИЯ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21. Поиск. Коллегии
</w:t>
      </w:r>
      <w:r>
        <w:br/>
      </w:r>
      <w:r>
        <w:rPr>
          <w:rFonts w:ascii="Times New Roman"/>
          <w:b w:val="false"/>
          <w:i w:val="false"/>
          <w:color w:val="000000"/>
          <w:sz w:val="28"/>
        </w:rPr>
        <w:t>
          (1) По уполномочию Административного совета Евразийское ведомство 
может заключить с национальным или региональным патентным ведомством 
соглашение о проведении, пока в этом будет необходимость, таким 
национальным или региональным ведомством поиска по евразийским заявкам, при 
условии, что национальное или региональное патентное ведомство способно 
осуществлять во всех или отдельных областях техники поиски того же типа, 
что и проводимые в соответствии с Договором о патентной кооперации.
</w:t>
      </w:r>
      <w:r>
        <w:br/>
      </w:r>
      <w:r>
        <w:rPr>
          <w:rFonts w:ascii="Times New Roman"/>
          <w:b w:val="false"/>
          <w:i w:val="false"/>
          <w:color w:val="000000"/>
          <w:sz w:val="28"/>
        </w:rPr>
        <w:t>
          (2) До тех пор, пока это необходимо, коллегии из трех экспертов, 
упомянутые в статье 15(7), могут состоять также из экспертов, 
рекомендованных национальными ведомствами Договаривающихся государств.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ЧАСТЬ VII
</w:t>
      </w:r>
      <w:r>
        <w:br/>
      </w:r>
      <w:r>
        <w:rPr>
          <w:rFonts w:ascii="Times New Roman"/>
          <w:b w:val="false"/>
          <w:i w:val="false"/>
          <w:color w:val="000000"/>
          <w:sz w:val="28"/>
        </w:rPr>
        <w:t>
                                                РАЗЛИЧНЫЕ ПОЛОЖЕНИЯ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22. Независимость национальных патентных систем
</w:t>
      </w:r>
      <w:r>
        <w:br/>
      </w:r>
      <w:r>
        <w:rPr>
          <w:rFonts w:ascii="Times New Roman"/>
          <w:b w:val="false"/>
          <w:i w:val="false"/>
          <w:color w:val="000000"/>
          <w:sz w:val="28"/>
        </w:rPr>
        <w:t>
          (1) Настоящая Конвенция не затрагивает права любого Договаривающегося 
государства выдавать национальные патенты.
</w:t>
      </w:r>
      <w:r>
        <w:br/>
      </w:r>
      <w:r>
        <w:rPr>
          <w:rFonts w:ascii="Times New Roman"/>
          <w:b w:val="false"/>
          <w:i w:val="false"/>
          <w:color w:val="000000"/>
          <w:sz w:val="28"/>
        </w:rPr>
        <w:t>
          (2) Настоящая Конвенция не является препятствием для любого 
Договаривающегося государства самостоятельно участвовать в любой 
международной организации и развивать различные формы международного 
сотрудничества в области охраны промышленной собственности.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23. Пересмотр Конвенции
</w:t>
      </w:r>
      <w:r>
        <w:br/>
      </w:r>
      <w:r>
        <w:rPr>
          <w:rFonts w:ascii="Times New Roman"/>
          <w:b w:val="false"/>
          <w:i w:val="false"/>
          <w:color w:val="000000"/>
          <w:sz w:val="28"/>
        </w:rPr>
        <w:t>
          (1) Настоящая Конвенция может пересматриваться Договаривающимися 
государствами в любое время.
</w:t>
      </w:r>
      <w:r>
        <w:br/>
      </w:r>
      <w:r>
        <w:rPr>
          <w:rFonts w:ascii="Times New Roman"/>
          <w:b w:val="false"/>
          <w:i w:val="false"/>
          <w:color w:val="000000"/>
          <w:sz w:val="28"/>
        </w:rPr>
        <w:t>
          (2) Вопрос о созыве конференции Договаривающихся государств для целей 
пересмотра Конвенции решается Административным советом. Он также решает 
вопросы по правилам процедуры и другие детали, относящиеся к конференциям 
по пересмотру.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24. Урегулирование споров
</w:t>
      </w:r>
      <w:r>
        <w:br/>
      </w:r>
      <w:r>
        <w:rPr>
          <w:rFonts w:ascii="Times New Roman"/>
          <w:b w:val="false"/>
          <w:i w:val="false"/>
          <w:color w:val="000000"/>
          <w:sz w:val="28"/>
        </w:rPr>
        <w:t>
          В случае возникновения какого-либо спора по вопросам толкования или 
применения настоящей Конвенции Генеральный директор ВОИС по просьбе любой 
из сторон, принимающих участие в споре, выступает в качестве посредника для 
приведения сторон к разрешению спора.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ЧАСТЬ VIII
</w:t>
      </w:r>
      <w:r>
        <w:br/>
      </w:r>
      <w:r>
        <w:rPr>
          <w:rFonts w:ascii="Times New Roman"/>
          <w:b w:val="false"/>
          <w:i w:val="false"/>
          <w:color w:val="000000"/>
          <w:sz w:val="28"/>
        </w:rPr>
        <w:t>
                                              ИНФОРМАЦИОННЫЕ УСЛУГИ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25. Распространение патентной информации
</w:t>
      </w:r>
      <w:r>
        <w:br/>
      </w:r>
      <w:r>
        <w:rPr>
          <w:rFonts w:ascii="Times New Roman"/>
          <w:b w:val="false"/>
          <w:i w:val="false"/>
          <w:color w:val="000000"/>
          <w:sz w:val="28"/>
        </w:rPr>
        <w:t>
          (1) Каждое Договаривающееся государство бесплатно получает Бюллетень 
Евразийского ведомства и описания евразийских заявок и патентов.
</w:t>
      </w:r>
      <w:r>
        <w:br/>
      </w:r>
      <w:r>
        <w:rPr>
          <w:rFonts w:ascii="Times New Roman"/>
          <w:b w:val="false"/>
          <w:i w:val="false"/>
          <w:color w:val="000000"/>
          <w:sz w:val="28"/>
        </w:rPr>
        <w:t>
          (2) С учетом пункта (1) настоящей статьи, никакая публикация 
Евразийского ведомства не будет распространяться бесплатно без разрешения 
Административного совета.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ЧАСТЬ IX
</w:t>
      </w:r>
      <w:r>
        <w:br/>
      </w:r>
      <w:r>
        <w:rPr>
          <w:rFonts w:ascii="Times New Roman"/>
          <w:b w:val="false"/>
          <w:i w:val="false"/>
          <w:color w:val="000000"/>
          <w:sz w:val="28"/>
        </w:rPr>
        <w:t>
                                          ЗАКЛЮЧИТЕЛЬНЫЕ ПОЛОЖЕНИЯ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26. Подписание. Вступление Конвенции в силу
</w:t>
      </w:r>
      <w:r>
        <w:br/>
      </w:r>
      <w:r>
        <w:rPr>
          <w:rFonts w:ascii="Times New Roman"/>
          <w:b w:val="false"/>
          <w:i w:val="false"/>
          <w:color w:val="000000"/>
          <w:sz w:val="28"/>
        </w:rPr>
        <w:t>
          (1) Настоящая Конвенция подписывается на русском языке.
</w:t>
      </w:r>
      <w:r>
        <w:br/>
      </w:r>
      <w:r>
        <w:rPr>
          <w:rFonts w:ascii="Times New Roman"/>
          <w:b w:val="false"/>
          <w:i w:val="false"/>
          <w:color w:val="000000"/>
          <w:sz w:val="28"/>
        </w:rPr>
        <w:t>
          (2) Членство в настоящей Конвенции открыто для любого государства-
члена Организации Объединенных Наций, связанного также Парижской конвенцией 
по охране промышленной собственности и Договором о патентной кооперации. 
Для того, чтобы стать участником Конвенции, государство должно либо 
подписать Конвенцию и сдать на хранение ратификационную грамоту, либо сдать 
на хранение акт о присоединении.
</w:t>
      </w:r>
      <w:r>
        <w:br/>
      </w:r>
      <w:r>
        <w:rPr>
          <w:rFonts w:ascii="Times New Roman"/>
          <w:b w:val="false"/>
          <w:i w:val="false"/>
          <w:color w:val="000000"/>
          <w:sz w:val="28"/>
        </w:rPr>
        <w:t>
          (3) В отношении настоящей Конвенции не допускаются никакие оговорки.
</w:t>
      </w:r>
      <w:r>
        <w:br/>
      </w:r>
      <w:r>
        <w:rPr>
          <w:rFonts w:ascii="Times New Roman"/>
          <w:b w:val="false"/>
          <w:i w:val="false"/>
          <w:color w:val="000000"/>
          <w:sz w:val="28"/>
        </w:rPr>
        <w:t>
          (4) Настоящая Конвенция вступает в силу в отношении первых трех 
государств, ратифицировавших ее или присоединившихся к ней, через три 
месяца после сдачи на хранение Генеральному директору ВОИС третьего из 
вышеупомянутых документов. В отношении любого другого государства настоящая 
Конвенция вступает в силу через три месяца после сдачи им на хранение своей 
ратификационной грамоты либо сдачи на хранение акта о присоединении.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27. Денонсация Конвенции
</w:t>
      </w:r>
      <w:r>
        <w:br/>
      </w:r>
      <w:r>
        <w:rPr>
          <w:rFonts w:ascii="Times New Roman"/>
          <w:b w:val="false"/>
          <w:i w:val="false"/>
          <w:color w:val="000000"/>
          <w:sz w:val="28"/>
        </w:rPr>
        <w:t>
          Любое Договаривающееся государство может денонсировать настоящую 
</w:t>
      </w:r>
      <w:r>
        <w:rPr>
          <w:rFonts w:ascii="Times New Roman"/>
          <w:b w:val="false"/>
          <w:i w:val="false"/>
          <w:color w:val="000000"/>
          <w:sz w:val="28"/>
        </w:rPr>
        <w:t>
</w:t>
      </w:r>
    </w:p>
    <w:p>
      <w:pPr>
        <w:spacing w:after="0"/>
        <w:ind w:left="0"/>
        <w:jc w:val="left"/>
      </w:pPr>
      <w:r>
        <w:rPr>
          <w:rFonts w:ascii="Times New Roman"/>
          <w:b w:val="false"/>
          <w:i w:val="false"/>
          <w:color w:val="000000"/>
          <w:sz w:val="28"/>
        </w:rPr>
        <w:t>
Конвенцию путем уведомления, направленного Генеральному директору ВОИС. 
Денонсация вступает в силу через шесть месяцев со дня получения уведомления 
Генеральным директором ВОИС. 
     Статья 28. Депозитарий
     Генеральный директор ВОИС является депозитарием настоящей Конвенции.
     Совершено в городе Москве 9 сентября 1994 года в одном подлинном 
экземпляре на русском языке.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