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5b4c" w14:textId="2445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дизайна монет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1997 г. N 3745. Утратил силу - Указом Президента РК от 25 сентября 2003 г. N 1193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в) статьи 15 Указа Президента Республики Казахстан от 30 марта 1995 г. N 2155, имеющего силу Закона,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  "О Национальном Банке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дизайна монет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11 ноября 1997 г. N 3745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дизайна монет Национального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Концепция определяет основные характеристики и требования, предъявляемые к дизайну монет Национального Банка Республики Казахстан (далее - монеты).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созданию дизайна монет предъявляются следующие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на высоком изобразительном уровне по возможности с отражением национально-культурной и исторической особенности Казахстана, значительных исторических событий, памятников культуры, выдающихся деятелей Республики, достижений и событий в области культуры и 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отражение символов государства, года выпуска и номинала;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эстетически привлекательных и безопасных для здоровья материалов при изготовлении;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необходимого уровня защищенности монет высокого номинала от подделки и максимального отличия диаметра и веса монет от диаметра и веса монет других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достижения финансовой экономии при изготовлении и оптимальных механических свойств монет и продолжительности срока их обращения, а также с учетом перечисленных в пункте 2 настоящей Концепции требований и технологии изготовления монет, применяемой в Казахстане, чеканка монет осуществляется из медноникелевых сплавов.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эмиссии монет учитывается такой монетный ряд, который позволит употреблять минимально возможное количество монет при каждой платежной операции. Наименьший номинал монеты определяется достоинством в 1 (один)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Номинальную стоимость, технические параметры и дизайн конкретной эмиссии монет Республики Казахстан определяет Правление Национального Банка Республики Казахстан на основе настоящей Концепции.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Республике Казахстан могут также выпускаться в обращение юбилейные, памятные, инвестиционные и иные монеты специальных чеканок, в изготовлении которых используются дорогостоящие материалы (в том числе драгоценные металлы), с применением сложных технологий чеканки и методов художественного оформления, придающих монетам специфические свойства и позволяющих им обращаться как в качестве средства платежа по номинальной стоимости, так и в качестве предметов коллекционирования, инвестирования, тезаврации по иной стоимости, отличающейся от номинальной.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