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3ce6" w14:textId="2e33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"Требования к бизнес-планам организаций, осуществляющих деятельность по инвестиционному управлению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Директората Национальной комиссии Республики Казахстан по ценным бумагам от 30 октября 2000 года N 702. Зарегистрировано Министерством юстиции Республики Казахстан 1 декабря 2000 года N 1312. Утратил силу - постановлением Правления Национального Банка Республики Казахстан от 29 мая 2003 года N 177 (V032397)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защиты прав и интересов вкладчиков накопительных пенсионных фондов/получателей пенсионных выплат из накопительных пенсионных фондов, во исполнение подпункта 4) пункта 2 
</w:t>
      </w:r>
      <w:r>
        <w:rPr>
          <w:rFonts w:ascii="Times New Roman"/>
          <w:b w:val="false"/>
          <w:i w:val="false"/>
          <w:color w:val="000000"/>
          <w:sz w:val="28"/>
        </w:rPr>
        <w:t xml:space="preserve"> постановления </w:t>
      </w:r>
      <w:r>
        <w:rPr>
          <w:rFonts w:ascii="Times New Roman"/>
          <w:b w:val="false"/>
          <w:i w:val="false"/>
          <w:color w:val="000000"/>
          <w:sz w:val="28"/>
        </w:rPr>
        <w:t>
 Национальной комиссии Республики Казахстан по ценным бумагам (далее именуемой "Национальная комиссия") "О требованиях, предъявляемых к юридическим лицам при получении лицензии на осуществление деятельности по инвестиционному управлению пенсионными активами" от 3 октября 1997 года N 156а, на основании подпунктов 13) и 22) пункта 5 
</w:t>
      </w:r>
      <w:r>
        <w:rPr>
          <w:rFonts w:ascii="Times New Roman"/>
          <w:b w:val="false"/>
          <w:i w:val="false"/>
          <w:color w:val="000000"/>
          <w:sz w:val="28"/>
        </w:rPr>
        <w:t xml:space="preserve"> Положения </w:t>
      </w:r>
      <w:r>
        <w:rPr>
          <w:rFonts w:ascii="Times New Roman"/>
          <w:b w:val="false"/>
          <w:i w:val="false"/>
          <w:color w:val="000000"/>
          <w:sz w:val="28"/>
        </w:rPr>
        <w:t>
 о Национальной комиссии Республики Казахстан по ценным бумагам, утвержденного Указом Президента Республики Казахстан от 13 ноября 1997 года N 3755, Директорат Национальной комиссии постановляет: 
</w:t>
      </w:r>
      <w:r>
        <w:br/>
      </w:r>
      <w:r>
        <w:rPr>
          <w:rFonts w:ascii="Times New Roman"/>
          <w:b w:val="false"/>
          <w:i w:val="false"/>
          <w:color w:val="000000"/>
          <w:sz w:val="28"/>
        </w:rPr>
        <w:t>
</w:t>
      </w:r>
      <w:r>
        <w:rPr>
          <w:rFonts w:ascii="Times New Roman"/>
          <w:b w:val="false"/>
          <w:i w:val="false"/>
          <w:color w:val="000000"/>
          <w:sz w:val="28"/>
        </w:rPr>
        <w:t>
      1. Утвердить Инструкцию "Требования к бизнес-планам организаций, осуществляющих деятельность по инвестиционному управлению пенсионными активами" (прилагается). 
</w:t>
      </w:r>
      <w:r>
        <w:br/>
      </w:r>
      <w:r>
        <w:rPr>
          <w:rFonts w:ascii="Times New Roman"/>
          <w:b w:val="false"/>
          <w:i w:val="false"/>
          <w:color w:val="000000"/>
          <w:sz w:val="28"/>
        </w:rPr>
        <w:t>
</w:t>
      </w:r>
      <w:r>
        <w:rPr>
          <w:rFonts w:ascii="Times New Roman"/>
          <w:b w:val="false"/>
          <w:i w:val="false"/>
          <w:color w:val="000000"/>
          <w:sz w:val="28"/>
        </w:rPr>
        <w:t>
      2. Установить, что настоящее Постановление вводится в действие с даты его регистрации Министерством юстиции либо с даты получения письма о том, что настоящее Постановление регистрации не подлежит. 
</w:t>
      </w:r>
      <w:r>
        <w:br/>
      </w:r>
      <w:r>
        <w:rPr>
          <w:rFonts w:ascii="Times New Roman"/>
          <w:b w:val="false"/>
          <w:i w:val="false"/>
          <w:color w:val="000000"/>
          <w:sz w:val="28"/>
        </w:rPr>
        <w:t>
      3. Отделу пенсионной реформы Управления лицензирования и надзора центрального аппарата Национальной комиссии: 
</w:t>
      </w:r>
      <w:r>
        <w:br/>
      </w:r>
      <w:r>
        <w:rPr>
          <w:rFonts w:ascii="Times New Roman"/>
          <w:b w:val="false"/>
          <w:i w:val="false"/>
          <w:color w:val="000000"/>
          <w:sz w:val="28"/>
        </w:rPr>
        <w:t>
      1) довести настоящее Постановление (после введения его в действие) и вышеназванную Инструкцию до сведения ЗАО "Государственный накопительный пенсионный фонд" и Комитета по регулированию деятельности накопительных пенсионных фондов Министерства труда и социальной защиты населения Республики Казахстан; 
</w:t>
      </w:r>
      <w:r>
        <w:br/>
      </w:r>
      <w:r>
        <w:rPr>
          <w:rFonts w:ascii="Times New Roman"/>
          <w:b w:val="false"/>
          <w:i w:val="false"/>
          <w:color w:val="000000"/>
          <w:sz w:val="28"/>
        </w:rPr>
        <w:t>
      2) доводить настоящее Постановление и вышеназванную Инструкцию до сведения организаций, намеренных получить лицензию на осуществление деятельности по инвестиционному управлению пенсионными активами; 
</w:t>
      </w:r>
      <w:r>
        <w:br/>
      </w:r>
      <w:r>
        <w:rPr>
          <w:rFonts w:ascii="Times New Roman"/>
          <w:b w:val="false"/>
          <w:i w:val="false"/>
          <w:color w:val="000000"/>
          <w:sz w:val="28"/>
        </w:rPr>
        <w:t>
      3) установить контроль за исполнением настоящего Постановления и вышеназванной Инструкции.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Директората
</w:t>
      </w:r>
      <w:r>
        <w:br/>
      </w:r>
      <w:r>
        <w:rPr>
          <w:rFonts w:ascii="Times New Roman"/>
          <w:b w:val="false"/>
          <w:i w:val="false"/>
          <w:color w:val="000000"/>
          <w:sz w:val="28"/>
        </w:rPr>
        <w:t>
                                         Национальной комиссии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ценным бумагам
</w:t>
      </w:r>
      <w:r>
        <w:br/>
      </w:r>
      <w:r>
        <w:rPr>
          <w:rFonts w:ascii="Times New Roman"/>
          <w:b w:val="false"/>
          <w:i w:val="false"/>
          <w:color w:val="000000"/>
          <w:sz w:val="28"/>
        </w:rPr>
        <w:t>
                                     от 30 октября 2000 года N 702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Требования к бизнес-планам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осуществляющих деятельность по инвестиционному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управлению пенсионными активами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Настоящая Инструкция разработана во исполнение подпункта 4) пункта 2 
</w:t>
      </w:r>
      <w:r>
        <w:rPr>
          <w:rFonts w:ascii="Times New Roman"/>
          <w:b w:val="false"/>
          <w:i w:val="false"/>
          <w:color w:val="000000"/>
          <w:sz w:val="28"/>
        </w:rPr>
        <w:t xml:space="preserve"> постановления </w:t>
      </w:r>
      <w:r>
        <w:rPr>
          <w:rFonts w:ascii="Times New Roman"/>
          <w:b w:val="false"/>
          <w:i w:val="false"/>
          <w:color w:val="000000"/>
          <w:sz w:val="28"/>
        </w:rPr>
        <w:t>
 Национальной комиссии Республики Казахстан по ценным бумагам "О требованиях, предъявляемых к юридическим лицам при получении лицензии на осуществление деятельности по инвестиционному управлению пенсионными активами" от 3 октября 1997 года N 156а и устанавливает для организации, осуществляющей деятельность по инвестиционному управлению пенсионными активами или намеренной получить лицензию на осуществление указанной деятельности: 
</w:t>
      </w:r>
      <w:r>
        <w:br/>
      </w:r>
      <w:r>
        <w:rPr>
          <w:rFonts w:ascii="Times New Roman"/>
          <w:b w:val="false"/>
          <w:i w:val="false"/>
          <w:color w:val="000000"/>
          <w:sz w:val="28"/>
        </w:rPr>
        <w:t>
      1) порядок составления и изменения ее бизнес-плана (экономического обоснования ее деятельности по инвестиционному управлению пенсионными активами); 
</w:t>
      </w:r>
      <w:r>
        <w:br/>
      </w:r>
      <w:r>
        <w:rPr>
          <w:rFonts w:ascii="Times New Roman"/>
          <w:b w:val="false"/>
          <w:i w:val="false"/>
          <w:color w:val="000000"/>
          <w:sz w:val="28"/>
        </w:rPr>
        <w:t>
      2) требования к содержанию ее бизнес-плана.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Составление и изменение бизнес-плана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Использованные в настоящей Инструкции понятия означают следующее: 
</w:t>
      </w:r>
      <w:r>
        <w:br/>
      </w:r>
      <w:r>
        <w:rPr>
          <w:rFonts w:ascii="Times New Roman"/>
          <w:b w:val="false"/>
          <w:i w:val="false"/>
          <w:color w:val="000000"/>
          <w:sz w:val="28"/>
        </w:rPr>
        <w:t>
      1) "Компания" - компания по управлению пенсионными активами; или 
</w:t>
      </w:r>
      <w:r>
        <w:br/>
      </w:r>
      <w:r>
        <w:rPr>
          <w:rFonts w:ascii="Times New Roman"/>
          <w:b w:val="false"/>
          <w:i w:val="false"/>
          <w:color w:val="000000"/>
          <w:sz w:val="28"/>
        </w:rPr>
        <w:t>
      ЗАО "Государственный накопительный пенсионный фонд", в случае если оно самостоятельно осуществляет деятельность по инвестиционному управлению своими пенсионными активами на основаниях, установленных законодательством Республики Казахстан; или 
</w:t>
      </w:r>
      <w:r>
        <w:br/>
      </w:r>
      <w:r>
        <w:rPr>
          <w:rFonts w:ascii="Times New Roman"/>
          <w:b w:val="false"/>
          <w:i w:val="false"/>
          <w:color w:val="000000"/>
          <w:sz w:val="28"/>
        </w:rPr>
        <w:t>
      организация, намеренная получить лицензию на осуществление деятельности по инвестиционному управлению пенсионными активами; 
</w:t>
      </w:r>
      <w:r>
        <w:br/>
      </w:r>
      <w:r>
        <w:rPr>
          <w:rFonts w:ascii="Times New Roman"/>
          <w:b w:val="false"/>
          <w:i w:val="false"/>
          <w:color w:val="000000"/>
          <w:sz w:val="28"/>
        </w:rPr>
        <w:t>
      2) "Национальная комиссия" - Национальная комиссия Республики Казахстан по ценным бумагам; 
</w:t>
      </w:r>
      <w:r>
        <w:br/>
      </w:r>
      <w:r>
        <w:rPr>
          <w:rFonts w:ascii="Times New Roman"/>
          <w:b w:val="false"/>
          <w:i w:val="false"/>
          <w:color w:val="000000"/>
          <w:sz w:val="28"/>
        </w:rPr>
        <w:t>
      3) "Фонд" - накопительный пенсионный фонд. 
</w:t>
      </w:r>
      <w:r>
        <w:br/>
      </w:r>
      <w:r>
        <w:rPr>
          <w:rFonts w:ascii="Times New Roman"/>
          <w:b w:val="false"/>
          <w:i w:val="false"/>
          <w:color w:val="000000"/>
          <w:sz w:val="28"/>
        </w:rPr>
        <w:t>
      2. Бизнес-план Компании: 
</w:t>
      </w:r>
      <w:r>
        <w:br/>
      </w:r>
      <w:r>
        <w:rPr>
          <w:rFonts w:ascii="Times New Roman"/>
          <w:b w:val="false"/>
          <w:i w:val="false"/>
          <w:color w:val="000000"/>
          <w:sz w:val="28"/>
        </w:rPr>
        <w:t>
      1) составляется ее исполнительным органом на основании анализа текущего и перспективного состояний экономики, рынков и Компании; 
</w:t>
      </w:r>
      <w:r>
        <w:br/>
      </w:r>
      <w:r>
        <w:rPr>
          <w:rFonts w:ascii="Times New Roman"/>
          <w:b w:val="false"/>
          <w:i w:val="false"/>
          <w:color w:val="000000"/>
          <w:sz w:val="28"/>
        </w:rPr>
        <w:t>
      2) утверждается общим собранием акционеров Компании; 
</w:t>
      </w:r>
      <w:r>
        <w:br/>
      </w:r>
      <w:r>
        <w:rPr>
          <w:rFonts w:ascii="Times New Roman"/>
          <w:b w:val="false"/>
          <w:i w:val="false"/>
          <w:color w:val="000000"/>
          <w:sz w:val="28"/>
        </w:rPr>
        <w:t>
      3) подлежит согласованию с Национальной комиссией. 
</w:t>
      </w:r>
      <w:r>
        <w:br/>
      </w:r>
      <w:r>
        <w:rPr>
          <w:rFonts w:ascii="Times New Roman"/>
          <w:b w:val="false"/>
          <w:i w:val="false"/>
          <w:color w:val="000000"/>
          <w:sz w:val="28"/>
        </w:rPr>
        <w:t>
      3. Утвержденный общим собранием акционеров Компании ее бизнес-план представляется Национальной комиссии для согласования в двух экземплярах, каждый из которых состоит из следующих тетрадей (прошитых, подписанных членами коллегиального исполнительного органа Компании (лицом, единолично осуществляющим функции исполнительного органа Компании) и заверенных ее печатью): 
</w:t>
      </w:r>
      <w:r>
        <w:br/>
      </w:r>
      <w:r>
        <w:rPr>
          <w:rFonts w:ascii="Times New Roman"/>
          <w:b w:val="false"/>
          <w:i w:val="false"/>
          <w:color w:val="000000"/>
          <w:sz w:val="28"/>
        </w:rPr>
        <w:t>
      1) тетрадь, включающую в себя данные разделов 1 и 2 бизнес-плана согласно пунктам 8 и 9 настоящей Инструкции; 
</w:t>
      </w:r>
      <w:r>
        <w:br/>
      </w:r>
      <w:r>
        <w:rPr>
          <w:rFonts w:ascii="Times New Roman"/>
          <w:b w:val="false"/>
          <w:i w:val="false"/>
          <w:color w:val="000000"/>
          <w:sz w:val="28"/>
        </w:rPr>
        <w:t>
      2) тетрадь, включающую в себя данные раздела 3 бизнес-плана согласно пункту 11 настоящей Инструкции, отдельно по каждому Фонду, обслуживаемому Компанией или намеренному заключить с ней договор на инвестиционное управление пенсионными активами (в случае, если данные раздела 3 содержат информацию об отдельных Фондах); 
</w:t>
      </w:r>
      <w:r>
        <w:br/>
      </w:r>
      <w:r>
        <w:rPr>
          <w:rFonts w:ascii="Times New Roman"/>
          <w:b w:val="false"/>
          <w:i w:val="false"/>
          <w:color w:val="000000"/>
          <w:sz w:val="28"/>
        </w:rPr>
        <w:t>
      3) тетрадь, включающую в себя данные раздела 4 бизнес-плана согласно пункту 13 настоящей Инструкции. 
</w:t>
      </w:r>
      <w:r>
        <w:br/>
      </w:r>
      <w:r>
        <w:rPr>
          <w:rFonts w:ascii="Times New Roman"/>
          <w:b w:val="false"/>
          <w:i w:val="false"/>
          <w:color w:val="000000"/>
          <w:sz w:val="28"/>
        </w:rPr>
        <w:t>
      4. Один экземпляр согласованного с Национальной комиссией бизнес-плана Компании передается ей, второй экземпляр остается в Национальной комиссии. Подтверждением согласования бизнес-плана Компании с Национальной комиссией является наличие: 
</w:t>
      </w:r>
      <w:r>
        <w:br/>
      </w:r>
      <w:r>
        <w:rPr>
          <w:rFonts w:ascii="Times New Roman"/>
          <w:b w:val="false"/>
          <w:i w:val="false"/>
          <w:color w:val="000000"/>
          <w:sz w:val="28"/>
        </w:rPr>
        <w:t>
      1) на титульном листе каждой отдельной тетради бизнес-плана: записи "Согласовано с Национальной комиссией Республики Казахстан по ценным бумагам", подписи Председателя Национальной комиссии или исполнительного директора Национальной комиссии, его замещающего, оттиска печати Национальной комиссии и даты согласования бизнес-плана; 
</w:t>
      </w:r>
      <w:r>
        <w:br/>
      </w:r>
      <w:r>
        <w:rPr>
          <w:rFonts w:ascii="Times New Roman"/>
          <w:b w:val="false"/>
          <w:i w:val="false"/>
          <w:color w:val="000000"/>
          <w:sz w:val="28"/>
        </w:rPr>
        <w:t>
      2) на обороте последнего листа каждой отдельной тетради бизнес-плана: оттиска печати Национальной комиссии (частично поверх ярлыка, наклеенного на узел прошивки, частично на листе). 
</w:t>
      </w:r>
      <w:r>
        <w:br/>
      </w:r>
      <w:r>
        <w:rPr>
          <w:rFonts w:ascii="Times New Roman"/>
          <w:b w:val="false"/>
          <w:i w:val="false"/>
          <w:color w:val="000000"/>
          <w:sz w:val="28"/>
        </w:rPr>
        <w:t>
      5. Компания вправе осуществлять свою деятельность исключительно в соответствии со своим бизнес-планом, утвержденным общим собранием ее акционеров и согласованным с Национальной комиссией (далее именуемым "утвержденный и согласованный бизнес-план"). 
</w:t>
      </w:r>
      <w:r>
        <w:br/>
      </w:r>
      <w:r>
        <w:rPr>
          <w:rFonts w:ascii="Times New Roman"/>
          <w:b w:val="false"/>
          <w:i w:val="false"/>
          <w:color w:val="000000"/>
          <w:sz w:val="28"/>
        </w:rPr>
        <w:t>
      6. Компания обязана предъявлять по первому требованию оригинал или нотариально удостоверенную копию утвержденного и согласованного бизнес-плана государственным органам, осуществляющим контроль за деятельностью Компании в рамках предоставленных им полномочий. 
</w:t>
      </w:r>
      <w:r>
        <w:br/>
      </w:r>
      <w:r>
        <w:rPr>
          <w:rFonts w:ascii="Times New Roman"/>
          <w:b w:val="false"/>
          <w:i w:val="false"/>
          <w:color w:val="000000"/>
          <w:sz w:val="28"/>
        </w:rPr>
        <w:t>
      Компания обязана предъявлять по первому требованию Фонда, обслуживаемого ею или намеренного заключить с ней договор на инвестиционное управление пенсионными активами, оригиналы или нотариально удостоверенные копии тетрадей утвержденного и согласованного бизнес-плана, включающие в себя данные разделов 1 и 2 бизнес-плана, а также раздела 3 бизнес-плана в части, относящейся к данному Фонду. 
</w:t>
      </w:r>
      <w:r>
        <w:br/>
      </w:r>
      <w:r>
        <w:rPr>
          <w:rFonts w:ascii="Times New Roman"/>
          <w:b w:val="false"/>
          <w:i w:val="false"/>
          <w:color w:val="000000"/>
          <w:sz w:val="28"/>
        </w:rPr>
        <w:t>
      Компания обязана предъявлять по первому требованию банка-кастодиана, заключившего или намеренного заключить с ней кастодиальный договор, оригиналы или нотариально удостоверенные копии тетрадей утвержденного и согласованного бизнес-плана, включающие в себя данные разделов 1 и 2 бизнес-плана. 
</w:t>
      </w:r>
      <w:r>
        <w:br/>
      </w:r>
      <w:r>
        <w:rPr>
          <w:rFonts w:ascii="Times New Roman"/>
          <w:b w:val="false"/>
          <w:i w:val="false"/>
          <w:color w:val="000000"/>
          <w:sz w:val="28"/>
        </w:rPr>
        <w:t>
      7. Изменение бизнес-плана Компании производится в соответствии с процедурами, установленными пунктами 2-4 настоящей Инструкции. 
</w:t>
      </w:r>
      <w:r>
        <w:br/>
      </w:r>
      <w:r>
        <w:rPr>
          <w:rFonts w:ascii="Times New Roman"/>
          <w:b w:val="false"/>
          <w:i w:val="false"/>
          <w:color w:val="000000"/>
          <w:sz w:val="28"/>
        </w:rPr>
        <w:t>
      Компания обязана незамедлительно вносить изменения в своей бизнес-план в случае изменения данных его раздела 1.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Содержание бизнес-плана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Раздел 1 бизнес-плана Компании "Общие сведения о компании" должен включать в себя следующие данные: 
</w:t>
      </w:r>
      <w:r>
        <w:br/>
      </w:r>
      <w:r>
        <w:rPr>
          <w:rFonts w:ascii="Times New Roman"/>
          <w:b w:val="false"/>
          <w:i w:val="false"/>
          <w:color w:val="000000"/>
          <w:sz w:val="28"/>
        </w:rPr>
        <w:t>
      1) полное наименование Компании (в соответствии со Свидетельством о ее государственной (пере)регистрации как юридического лица); 
</w:t>
      </w:r>
      <w:r>
        <w:br/>
      </w:r>
      <w:r>
        <w:rPr>
          <w:rFonts w:ascii="Times New Roman"/>
          <w:b w:val="false"/>
          <w:i w:val="false"/>
          <w:color w:val="000000"/>
          <w:sz w:val="28"/>
        </w:rPr>
        <w:t>
      2) сокращенное наименование Компании (в соответствии со Свидетельством о ее государственной (пере)регистрации как юридического лица или, при отсутствии сокращенного наименования Компании в указанном Свидетельстве, в соответствии с учредительными документами Компании, заверенными органом государственной регистрации); 
</w:t>
      </w:r>
      <w:r>
        <w:br/>
      </w:r>
      <w:r>
        <w:rPr>
          <w:rFonts w:ascii="Times New Roman"/>
          <w:b w:val="false"/>
          <w:i w:val="false"/>
          <w:color w:val="000000"/>
          <w:sz w:val="28"/>
        </w:rPr>
        <w:t>
      3) коды Компании, присвоенные ей Национальной комиссией (при наличии таковых); 
</w:t>
      </w:r>
      <w:r>
        <w:br/>
      </w:r>
      <w:r>
        <w:rPr>
          <w:rFonts w:ascii="Times New Roman"/>
          <w:b w:val="false"/>
          <w:i w:val="false"/>
          <w:color w:val="000000"/>
          <w:sz w:val="28"/>
        </w:rPr>
        <w:t>
      4) данные о государственной (пере)регистрации Компании как юридического лица (в соответствии со Свидетельством о ее государственной (пере)регистрации как юридического лица): 
</w:t>
      </w:r>
      <w:r>
        <w:br/>
      </w:r>
      <w:r>
        <w:rPr>
          <w:rFonts w:ascii="Times New Roman"/>
          <w:b w:val="false"/>
          <w:i w:val="false"/>
          <w:color w:val="000000"/>
          <w:sz w:val="28"/>
        </w:rPr>
        <w:t>
      дата и номер последней государственной (пере)регистрации; 
</w:t>
      </w:r>
      <w:r>
        <w:br/>
      </w:r>
      <w:r>
        <w:rPr>
          <w:rFonts w:ascii="Times New Roman"/>
          <w:b w:val="false"/>
          <w:i w:val="false"/>
          <w:color w:val="000000"/>
          <w:sz w:val="28"/>
        </w:rPr>
        <w:t>
      наименование органа государственной регистрации; 
</w:t>
      </w:r>
      <w:r>
        <w:br/>
      </w:r>
      <w:r>
        <w:rPr>
          <w:rFonts w:ascii="Times New Roman"/>
          <w:b w:val="false"/>
          <w:i w:val="false"/>
          <w:color w:val="000000"/>
          <w:sz w:val="28"/>
        </w:rPr>
        <w:t>
      код ОКПО; 
</w:t>
      </w:r>
      <w:r>
        <w:br/>
      </w:r>
      <w:r>
        <w:rPr>
          <w:rFonts w:ascii="Times New Roman"/>
          <w:b w:val="false"/>
          <w:i w:val="false"/>
          <w:color w:val="000000"/>
          <w:sz w:val="28"/>
        </w:rPr>
        <w:t>
      дата первичной государственной регистрации; 
</w:t>
      </w:r>
      <w:r>
        <w:br/>
      </w:r>
      <w:r>
        <w:rPr>
          <w:rFonts w:ascii="Times New Roman"/>
          <w:b w:val="false"/>
          <w:i w:val="false"/>
          <w:color w:val="000000"/>
          <w:sz w:val="28"/>
        </w:rPr>
        <w:t>
      5) зарегистрированное место нахождения Компании (в соответствии со Свидетельством о ее государственной (пере)регистрации как юридического лица); 
</w:t>
      </w:r>
      <w:r>
        <w:br/>
      </w:r>
      <w:r>
        <w:rPr>
          <w:rFonts w:ascii="Times New Roman"/>
          <w:b w:val="false"/>
          <w:i w:val="false"/>
          <w:color w:val="000000"/>
          <w:sz w:val="28"/>
        </w:rPr>
        <w:t>
      фактическое место нахождения Компании (если оно отличается от зарегистрированного); 
</w:t>
      </w:r>
      <w:r>
        <w:br/>
      </w:r>
      <w:r>
        <w:rPr>
          <w:rFonts w:ascii="Times New Roman"/>
          <w:b w:val="false"/>
          <w:i w:val="false"/>
          <w:color w:val="000000"/>
          <w:sz w:val="28"/>
        </w:rPr>
        <w:t>
      почтовый адрес Компании (если он отличается от фактического места нахождения Компании); 
</w:t>
      </w:r>
      <w:r>
        <w:br/>
      </w:r>
      <w:r>
        <w:rPr>
          <w:rFonts w:ascii="Times New Roman"/>
          <w:b w:val="false"/>
          <w:i w:val="false"/>
          <w:color w:val="000000"/>
          <w:sz w:val="28"/>
        </w:rPr>
        <w:t>
      6) коммуникационные реквизиты Компании (номера телефонов, факсов, телексов, телетайпов, адреса электронной почты и другие возможные коммуникационные реквизиты); 
</w:t>
      </w:r>
      <w:r>
        <w:br/>
      </w:r>
      <w:r>
        <w:rPr>
          <w:rFonts w:ascii="Times New Roman"/>
          <w:b w:val="false"/>
          <w:i w:val="false"/>
          <w:color w:val="000000"/>
          <w:sz w:val="28"/>
        </w:rPr>
        <w:t>
      7) банковские реквизиты Компании (наименование, адрес и платежные реквизиты обслуживающего банка (филиала банка), номер банковского счета); 
</w:t>
      </w:r>
      <w:r>
        <w:br/>
      </w:r>
      <w:r>
        <w:rPr>
          <w:rFonts w:ascii="Times New Roman"/>
          <w:b w:val="false"/>
          <w:i w:val="false"/>
          <w:color w:val="000000"/>
          <w:sz w:val="28"/>
        </w:rPr>
        <w:t>
      8) объявленный уставный капитал Компании (в соответствии с учредительными документами, заверенными органом государственной регистрации) и форма выпуска ее акций; 
</w:t>
      </w:r>
      <w:r>
        <w:br/>
      </w:r>
      <w:r>
        <w:rPr>
          <w:rFonts w:ascii="Times New Roman"/>
          <w:b w:val="false"/>
          <w:i w:val="false"/>
          <w:color w:val="000000"/>
          <w:sz w:val="28"/>
        </w:rPr>
        <w:t>
      9) структура объявленного уставного капитала Компании (в соответствии со Свидетельством о государственной регистрации эмиссии акций Компании или, при его отсутствии, в соответствии с учредительными документами, заверенными органом государственной регистрации, и иными возможными документами): 
</w:t>
      </w:r>
      <w:r>
        <w:br/>
      </w:r>
      <w:r>
        <w:rPr>
          <w:rFonts w:ascii="Times New Roman"/>
          <w:b w:val="false"/>
          <w:i w:val="false"/>
          <w:color w:val="000000"/>
          <w:sz w:val="28"/>
        </w:rPr>
        <w:t>
      виды, категории и номинальная стоимость объявленных к выпуску акций Компании; 
</w:t>
      </w:r>
      <w:r>
        <w:br/>
      </w:r>
      <w:r>
        <w:rPr>
          <w:rFonts w:ascii="Times New Roman"/>
          <w:b w:val="false"/>
          <w:i w:val="false"/>
          <w:color w:val="000000"/>
          <w:sz w:val="28"/>
        </w:rPr>
        <w:t>
      количество объявленных к выпуску акций Компании по их видам и категориям; 
</w:t>
      </w:r>
      <w:r>
        <w:br/>
      </w:r>
      <w:r>
        <w:rPr>
          <w:rFonts w:ascii="Times New Roman"/>
          <w:b w:val="false"/>
          <w:i w:val="false"/>
          <w:color w:val="000000"/>
          <w:sz w:val="28"/>
        </w:rPr>
        <w:t>
      суммарная номинальная стоимость объявленных к выпуску акций Компании каждых отдельных вида и категории; 
</w:t>
      </w:r>
      <w:r>
        <w:br/>
      </w:r>
      <w:r>
        <w:rPr>
          <w:rFonts w:ascii="Times New Roman"/>
          <w:b w:val="false"/>
          <w:i w:val="false"/>
          <w:color w:val="000000"/>
          <w:sz w:val="28"/>
        </w:rPr>
        <w:t>
      10) сведения о государственной регистрации эмиссии акций Компании (при наличии таковой): 
</w:t>
      </w:r>
      <w:r>
        <w:br/>
      </w:r>
      <w:r>
        <w:rPr>
          <w:rFonts w:ascii="Times New Roman"/>
          <w:b w:val="false"/>
          <w:i w:val="false"/>
          <w:color w:val="000000"/>
          <w:sz w:val="28"/>
        </w:rPr>
        <w:t>
      дата и номер Свидетельства о государственной регистрации эмиссии акций Компании или дата и номер письма Национальной комиссии об отказе в государственной регистрации эмиссии акций Компании; 
</w:t>
      </w:r>
      <w:r>
        <w:br/>
      </w:r>
      <w:r>
        <w:rPr>
          <w:rFonts w:ascii="Times New Roman"/>
          <w:b w:val="false"/>
          <w:i w:val="false"/>
          <w:color w:val="000000"/>
          <w:sz w:val="28"/>
        </w:rPr>
        <w:t>
      национальный идентификационный номер (национальные идентификационные номера), присвоенные Национальной комиссией эмиссии (эмиссиям) акций Компании; 
</w:t>
      </w:r>
      <w:r>
        <w:br/>
      </w:r>
      <w:r>
        <w:rPr>
          <w:rFonts w:ascii="Times New Roman"/>
          <w:b w:val="false"/>
          <w:i w:val="false"/>
          <w:color w:val="000000"/>
          <w:sz w:val="28"/>
        </w:rPr>
        <w:t>
      номер регистрации проспекта эмиссии (номера регистрации проспектов эмиссий) акций Компании Национальной комиссией; 
</w:t>
      </w:r>
      <w:r>
        <w:br/>
      </w:r>
      <w:r>
        <w:rPr>
          <w:rFonts w:ascii="Times New Roman"/>
          <w:b w:val="false"/>
          <w:i w:val="false"/>
          <w:color w:val="000000"/>
          <w:sz w:val="28"/>
        </w:rPr>
        <w:t>
      номер эмиссии (номера эмиссий) акций Компании в Государственном реестре ценных бумаг; 
</w:t>
      </w:r>
      <w:r>
        <w:br/>
      </w:r>
      <w:r>
        <w:rPr>
          <w:rFonts w:ascii="Times New Roman"/>
          <w:b w:val="false"/>
          <w:i w:val="false"/>
          <w:color w:val="000000"/>
          <w:sz w:val="28"/>
        </w:rPr>
        <w:t>
      11) выпущенный (оплаченный) уставный капитал Компании (в соответствии с данными бухгалтерского учета) и его структура: 
</w:t>
      </w:r>
      <w:r>
        <w:br/>
      </w:r>
      <w:r>
        <w:rPr>
          <w:rFonts w:ascii="Times New Roman"/>
          <w:b w:val="false"/>
          <w:i w:val="false"/>
          <w:color w:val="000000"/>
          <w:sz w:val="28"/>
        </w:rPr>
        <w:t>
      количество выпущенных акций Компании по их видам и категориям; 
</w:t>
      </w:r>
      <w:r>
        <w:br/>
      </w:r>
      <w:r>
        <w:rPr>
          <w:rFonts w:ascii="Times New Roman"/>
          <w:b w:val="false"/>
          <w:i w:val="false"/>
          <w:color w:val="000000"/>
          <w:sz w:val="28"/>
        </w:rPr>
        <w:t>
      суммарная номинальная стоимость выпущенных акций Компании каждых отдельных вида и категории; 
</w:t>
      </w:r>
      <w:r>
        <w:br/>
      </w:r>
      <w:r>
        <w:rPr>
          <w:rFonts w:ascii="Times New Roman"/>
          <w:b w:val="false"/>
          <w:i w:val="false"/>
          <w:color w:val="000000"/>
          <w:sz w:val="28"/>
        </w:rPr>
        <w:t>
      дата начала и окончания размещения выпущенных акций Компании; 
</w:t>
      </w:r>
      <w:r>
        <w:br/>
      </w:r>
      <w:r>
        <w:rPr>
          <w:rFonts w:ascii="Times New Roman"/>
          <w:b w:val="false"/>
          <w:i w:val="false"/>
          <w:color w:val="000000"/>
          <w:sz w:val="28"/>
        </w:rPr>
        <w:t>
      12) сведения об утверждении отчета Компании об итогах выпуска и размещения акций (при наличии такового): 
</w:t>
      </w:r>
      <w:r>
        <w:br/>
      </w:r>
      <w:r>
        <w:rPr>
          <w:rFonts w:ascii="Times New Roman"/>
          <w:b w:val="false"/>
          <w:i w:val="false"/>
          <w:color w:val="000000"/>
          <w:sz w:val="28"/>
        </w:rPr>
        <w:t>
      дата и номер письма Национальной комиссии об утверждении отчета Компании об итогах выпуска и размещения акций, либо об отказе в его утверждении; 
</w:t>
      </w:r>
      <w:r>
        <w:br/>
      </w:r>
      <w:r>
        <w:rPr>
          <w:rFonts w:ascii="Times New Roman"/>
          <w:b w:val="false"/>
          <w:i w:val="false"/>
          <w:color w:val="000000"/>
          <w:sz w:val="28"/>
        </w:rPr>
        <w:t>
      суммарная номинальная стоимость выпущенных акций Компании (согласно отчету об итогах выпуска и размещения акций Компании); 
</w:t>
      </w:r>
      <w:r>
        <w:br/>
      </w:r>
      <w:r>
        <w:rPr>
          <w:rFonts w:ascii="Times New Roman"/>
          <w:b w:val="false"/>
          <w:i w:val="false"/>
          <w:color w:val="000000"/>
          <w:sz w:val="28"/>
        </w:rPr>
        <w:t>
      13) сведения об акционерах Компании: 
</w:t>
      </w:r>
      <w:r>
        <w:br/>
      </w:r>
      <w:r>
        <w:rPr>
          <w:rFonts w:ascii="Times New Roman"/>
          <w:b w:val="false"/>
          <w:i w:val="false"/>
          <w:color w:val="000000"/>
          <w:sz w:val="28"/>
        </w:rPr>
        <w:t>
      в отношении акционеров Компании - юридических лиц: 
</w:t>
      </w:r>
      <w:r>
        <w:br/>
      </w:r>
      <w:r>
        <w:rPr>
          <w:rFonts w:ascii="Times New Roman"/>
          <w:b w:val="false"/>
          <w:i w:val="false"/>
          <w:color w:val="000000"/>
          <w:sz w:val="28"/>
        </w:rPr>
        <w:t>
      полные наименования (в соответствии со Свидетельствами о их государственной (пере)регистрации в качестве юридического лица; для нерезидентов Республики Казахстан - в соответствии с документами, удостоверяющими их государственную регистрацию как юридических лиц); 
</w:t>
      </w:r>
      <w:r>
        <w:br/>
      </w:r>
      <w:r>
        <w:rPr>
          <w:rFonts w:ascii="Times New Roman"/>
          <w:b w:val="false"/>
          <w:i w:val="false"/>
          <w:color w:val="000000"/>
          <w:sz w:val="28"/>
        </w:rPr>
        <w:t>
      зарегистрированные места нахождения (в соответствии со Свидетельствами о их государственной (пере)регистрации как юридического лица; для нерезидентов Республики Казахстан - в соответствии с документами, удостоверяющими их государственную регистрацию как юридических лиц); 
</w:t>
      </w:r>
      <w:r>
        <w:br/>
      </w:r>
      <w:r>
        <w:rPr>
          <w:rFonts w:ascii="Times New Roman"/>
          <w:b w:val="false"/>
          <w:i w:val="false"/>
          <w:color w:val="000000"/>
          <w:sz w:val="28"/>
        </w:rPr>
        <w:t>
      фактические места нахождения (если они отличаются от зарегистрированных); 
</w:t>
      </w:r>
      <w:r>
        <w:br/>
      </w:r>
      <w:r>
        <w:rPr>
          <w:rFonts w:ascii="Times New Roman"/>
          <w:b w:val="false"/>
          <w:i w:val="false"/>
          <w:color w:val="000000"/>
          <w:sz w:val="28"/>
        </w:rPr>
        <w:t>
      данные о государственной (пере)регистрации как юридических лиц: даты и номера последней государственной (пере)регистрации, наименования органов государственной регистрации, для организаций Республики Казахстан - коды ОКПО; 
</w:t>
      </w:r>
      <w:r>
        <w:br/>
      </w:r>
      <w:r>
        <w:rPr>
          <w:rFonts w:ascii="Times New Roman"/>
          <w:b w:val="false"/>
          <w:i w:val="false"/>
          <w:color w:val="000000"/>
          <w:sz w:val="28"/>
        </w:rPr>
        <w:t>
      в отношении акционеров - физических лиц: 
</w:t>
      </w:r>
      <w:r>
        <w:br/>
      </w:r>
      <w:r>
        <w:rPr>
          <w:rFonts w:ascii="Times New Roman"/>
          <w:b w:val="false"/>
          <w:i w:val="false"/>
          <w:color w:val="000000"/>
          <w:sz w:val="28"/>
        </w:rPr>
        <w:t>
      имена (в соответствии с документами, удостоверяющими личность; для граждан других, кроме стран-членов СНГ, государств и лиц без гражданства - на английском языке); 
</w:t>
      </w:r>
      <w:r>
        <w:br/>
      </w:r>
      <w:r>
        <w:rPr>
          <w:rFonts w:ascii="Times New Roman"/>
          <w:b w:val="false"/>
          <w:i w:val="false"/>
          <w:color w:val="000000"/>
          <w:sz w:val="28"/>
        </w:rPr>
        <w:t>
      места жительства; 
</w:t>
      </w:r>
      <w:r>
        <w:br/>
      </w:r>
      <w:r>
        <w:rPr>
          <w:rFonts w:ascii="Times New Roman"/>
          <w:b w:val="false"/>
          <w:i w:val="false"/>
          <w:color w:val="000000"/>
          <w:sz w:val="28"/>
        </w:rPr>
        <w:t>
      данные документов, удостоверяющих личность; 
</w:t>
      </w:r>
      <w:r>
        <w:br/>
      </w:r>
      <w:r>
        <w:rPr>
          <w:rFonts w:ascii="Times New Roman"/>
          <w:b w:val="false"/>
          <w:i w:val="false"/>
          <w:color w:val="000000"/>
          <w:sz w:val="28"/>
        </w:rPr>
        <w:t>
      в отношении всех акционеров (как юридических, так и физических лиц): 
</w:t>
      </w:r>
      <w:r>
        <w:br/>
      </w:r>
      <w:r>
        <w:rPr>
          <w:rFonts w:ascii="Times New Roman"/>
          <w:b w:val="false"/>
          <w:i w:val="false"/>
          <w:color w:val="000000"/>
          <w:sz w:val="28"/>
        </w:rPr>
        <w:t>
      коммуникационные реквизиты (номера телефонов, факсов, телефаксов, телетайпов, адреса электронной почты и другие возможные коммуникационные реквизиты); 
</w:t>
      </w:r>
      <w:r>
        <w:br/>
      </w:r>
      <w:r>
        <w:rPr>
          <w:rFonts w:ascii="Times New Roman"/>
          <w:b w:val="false"/>
          <w:i w:val="false"/>
          <w:color w:val="000000"/>
          <w:sz w:val="28"/>
        </w:rPr>
        <w:t>
      14) сведения о распределении выпущенных акций между акционерами с указанием видов и категорий акций; 
</w:t>
      </w:r>
      <w:r>
        <w:br/>
      </w:r>
      <w:r>
        <w:rPr>
          <w:rFonts w:ascii="Times New Roman"/>
          <w:b w:val="false"/>
          <w:i w:val="false"/>
          <w:color w:val="000000"/>
          <w:sz w:val="28"/>
        </w:rPr>
        <w:t>
      15) количественный и персональный составы органов Компании с указанием занимаемых должностей: совета директоров, правления (при его наличии), ревизионной комиссии (ревизора); 
</w:t>
      </w:r>
      <w:r>
        <w:br/>
      </w:r>
      <w:r>
        <w:rPr>
          <w:rFonts w:ascii="Times New Roman"/>
          <w:b w:val="false"/>
          <w:i w:val="false"/>
          <w:color w:val="000000"/>
          <w:sz w:val="28"/>
        </w:rPr>
        <w:t>
      16) полное наименование аудитора Компании (в соответствии со Свидетельством о его государственной (пере)регистрации как юридического лица), дата выдачи и номер лицензии на осуществление аудиторской деятельности, дата и номер договора с аудитором Компании; 
</w:t>
      </w:r>
      <w:r>
        <w:br/>
      </w:r>
      <w:r>
        <w:rPr>
          <w:rFonts w:ascii="Times New Roman"/>
          <w:b w:val="false"/>
          <w:i w:val="false"/>
          <w:color w:val="000000"/>
          <w:sz w:val="28"/>
        </w:rPr>
        <w:t>
      17) организационная структура и штатное расписание Компании: наименования и основные функций структурных подразделений Компании (включая ее филиалы) с указанием должностей и имен руководителей структурных подразделений и их заместителей, наименования должностей и количество работников структурных подразделений; 
</w:t>
      </w:r>
      <w:r>
        <w:br/>
      </w:r>
      <w:r>
        <w:rPr>
          <w:rFonts w:ascii="Times New Roman"/>
          <w:b w:val="false"/>
          <w:i w:val="false"/>
          <w:color w:val="000000"/>
          <w:sz w:val="28"/>
        </w:rPr>
        <w:t>
      18) информация о принадлежности Компании к другим лицам или группам лиц (простым товариществам, консорциумам и другим) и о наличии статуса дочернего хозяйственного товарищества или зависимого акционерного общества. Степень раскрытия такой информации определяется Национальной комиссией; 
</w:t>
      </w:r>
      <w:r>
        <w:br/>
      </w:r>
      <w:r>
        <w:rPr>
          <w:rFonts w:ascii="Times New Roman"/>
          <w:b w:val="false"/>
          <w:i w:val="false"/>
          <w:color w:val="000000"/>
          <w:sz w:val="28"/>
        </w:rPr>
        <w:t>
      19) сведения о членстве Компании в объединениях юридических лиц в форме ассоциации (союза) и в организациях, использующих принцип членства (фондовых биржах и других); 
</w:t>
      </w:r>
      <w:r>
        <w:br/>
      </w:r>
      <w:r>
        <w:rPr>
          <w:rFonts w:ascii="Times New Roman"/>
          <w:b w:val="false"/>
          <w:i w:val="false"/>
          <w:color w:val="000000"/>
          <w:sz w:val="28"/>
        </w:rPr>
        <w:t>
      20) информация об участии Компании в других юридических лицах (владении акциями акционерных обществ и о наличии долей в уставных капиталах хозяйственных товариществ): наименования и места нахождения таких юридических лиц; количество, виды и категории акций, принадлежащих Компании, или размеры долей Компании в уставных капиталах хозяйственных товариществ; наличие ограничений права голоса по принадлежащим Компании акциям или долям в уставных капиталах хозяйственных товариществ. Степень достаточности раскрытия такой информации определяется Национальной комиссией в ходе рассмотрения представленного на согласование бизнес-плана Компании; 
</w:t>
      </w:r>
      <w:r>
        <w:br/>
      </w:r>
      <w:r>
        <w:rPr>
          <w:rFonts w:ascii="Times New Roman"/>
          <w:b w:val="false"/>
          <w:i w:val="false"/>
          <w:color w:val="000000"/>
          <w:sz w:val="28"/>
        </w:rPr>
        <w:t>
      21) сведения о занимаемых Компанией помещениях: этажность, площадь, краткая характеристика состояния ("ремонт не требуется", "требуется частичный ремонт (отделка)", "требуется капитальный ремонт"), условия занятия помещений (на правах собственности или аренды); 
</w:t>
      </w:r>
      <w:r>
        <w:br/>
      </w:r>
      <w:r>
        <w:rPr>
          <w:rFonts w:ascii="Times New Roman"/>
          <w:b w:val="false"/>
          <w:i w:val="false"/>
          <w:color w:val="000000"/>
          <w:sz w:val="28"/>
        </w:rPr>
        <w:t>
      22) основные сведения о технологической обеспеченности Компании, включая характеристики линий связи, компьютерных сетей и источники приобретения программных продуктов; сведения о степени взаимодействия (совместимости) программно-технических и коммуникационных средств Компании с программно-техническими и коммуникационными средствами институтов инфраструктуры финансового рынка (фондовой биржи, центрального депозитария и других); сведения об условиях пользования программно-техническими и коммуникационными средствами (на правах собственности или аренды). Степень достаточности таких сведений определяется Национальной комиссией в ходе рассмотрения представленного на согласование бизнес-плана Компании; 
</w:t>
      </w:r>
      <w:r>
        <w:br/>
      </w:r>
      <w:r>
        <w:rPr>
          <w:rFonts w:ascii="Times New Roman"/>
          <w:b w:val="false"/>
          <w:i w:val="false"/>
          <w:color w:val="000000"/>
          <w:sz w:val="28"/>
        </w:rPr>
        <w:t>
      23) основные сведения о системах регулируемого доступа к программно-техническим средствам (в том числе к электронным массивам данных), документам и архивам документов Компании; 
</w:t>
      </w:r>
      <w:r>
        <w:br/>
      </w:r>
      <w:r>
        <w:rPr>
          <w:rFonts w:ascii="Times New Roman"/>
          <w:b w:val="false"/>
          <w:i w:val="false"/>
          <w:color w:val="000000"/>
          <w:sz w:val="28"/>
        </w:rPr>
        <w:t>
      24) основные сведения о системах безопасности Компании, обеспечивающих сохранность программно-технических средств (в том числе электронных массивов данных), документов и архивов документов Компании, включая сведения о системах резервного копирования, резервных технологических мощностях и способах хранения резервных копий. Степень достаточности таких сведений определяется Национальной комиссией в ходе рассмотрения представленного на согласование бизнес-плана Компании; 
</w:t>
      </w:r>
      <w:r>
        <w:br/>
      </w:r>
      <w:r>
        <w:rPr>
          <w:rFonts w:ascii="Times New Roman"/>
          <w:b w:val="false"/>
          <w:i w:val="false"/>
          <w:color w:val="000000"/>
          <w:sz w:val="28"/>
        </w:rPr>
        <w:t>
      25) сведения о страховании пенсионных активов, принятых Компанией в инвестиционное управление (при наличии такового): наименования страховых организаций в соответствии с договорами страхования; виды, условия, сроки и стоимость страхования; иные существенные сведения, характеризующие страхование пенсионных активов. 
</w:t>
      </w:r>
      <w:r>
        <w:br/>
      </w:r>
      <w:r>
        <w:rPr>
          <w:rFonts w:ascii="Times New Roman"/>
          <w:b w:val="false"/>
          <w:i w:val="false"/>
          <w:color w:val="000000"/>
          <w:sz w:val="28"/>
        </w:rPr>
        <w:t>
      9. Раздел 2 бизнес-плана Компании "Анализ экономики и рынков" должен включать в себя следующие данные: 
</w:t>
      </w:r>
      <w:r>
        <w:br/>
      </w:r>
      <w:r>
        <w:rPr>
          <w:rFonts w:ascii="Times New Roman"/>
          <w:b w:val="false"/>
          <w:i w:val="false"/>
          <w:color w:val="000000"/>
          <w:sz w:val="28"/>
        </w:rPr>
        <w:t>
      1) общий анализ экономики и финансовых рынков и тенденций их развития; 
</w:t>
      </w:r>
      <w:r>
        <w:br/>
      </w:r>
      <w:r>
        <w:rPr>
          <w:rFonts w:ascii="Times New Roman"/>
          <w:b w:val="false"/>
          <w:i w:val="false"/>
          <w:color w:val="000000"/>
          <w:sz w:val="28"/>
        </w:rPr>
        <w:t>
      2) анализ рынка государственных ценных бумаг и тенденций его развития; 
</w:t>
      </w:r>
      <w:r>
        <w:br/>
      </w:r>
      <w:r>
        <w:rPr>
          <w:rFonts w:ascii="Times New Roman"/>
          <w:b w:val="false"/>
          <w:i w:val="false"/>
          <w:color w:val="000000"/>
          <w:sz w:val="28"/>
        </w:rPr>
        <w:t>
      3) анализ рынка негосударственных ценных бумаг и тенденций его развития; 
</w:t>
      </w:r>
      <w:r>
        <w:br/>
      </w:r>
      <w:r>
        <w:rPr>
          <w:rFonts w:ascii="Times New Roman"/>
          <w:b w:val="false"/>
          <w:i w:val="false"/>
          <w:color w:val="000000"/>
          <w:sz w:val="28"/>
        </w:rPr>
        <w:t>
      4) анализ рынка банковских депозитов (депозитных сертификатов) и тенденций его развития; 
</w:t>
      </w:r>
      <w:r>
        <w:br/>
      </w:r>
      <w:r>
        <w:rPr>
          <w:rFonts w:ascii="Times New Roman"/>
          <w:b w:val="false"/>
          <w:i w:val="false"/>
          <w:color w:val="000000"/>
          <w:sz w:val="28"/>
        </w:rPr>
        <w:t>
      5) анализ рынков прочих финансовых инструментов, разрешенных к приобретению за счет пенсионных активов, и тенденций их развития; 
</w:t>
      </w:r>
      <w:r>
        <w:br/>
      </w:r>
      <w:r>
        <w:rPr>
          <w:rFonts w:ascii="Times New Roman"/>
          <w:b w:val="false"/>
          <w:i w:val="false"/>
          <w:color w:val="000000"/>
          <w:sz w:val="28"/>
        </w:rPr>
        <w:t>
      6) анализ рынка труда и тенденций его развития; 
</w:t>
      </w:r>
      <w:r>
        <w:br/>
      </w:r>
      <w:r>
        <w:rPr>
          <w:rFonts w:ascii="Times New Roman"/>
          <w:b w:val="false"/>
          <w:i w:val="false"/>
          <w:color w:val="000000"/>
          <w:sz w:val="28"/>
        </w:rPr>
        <w:t>
      7) анализ состояния конкуренции между компаниями по управлению пенсионными активами и характеристика текущей доли Компании на рынке услуг по инвестиционному управлению пенсионными активами с описанием существующих и предполагаемых сильных и слабых сторон Компании. 
</w:t>
      </w:r>
      <w:r>
        <w:br/>
      </w:r>
      <w:r>
        <w:rPr>
          <w:rFonts w:ascii="Times New Roman"/>
          <w:b w:val="false"/>
          <w:i w:val="false"/>
          <w:color w:val="000000"/>
          <w:sz w:val="28"/>
        </w:rPr>
        <w:t>
      10. Анализ экономики и рынков, приведенный в разделе 2 бизнес-плана Компании, должен быть при необходимости подтвержден документами или ссылками на источники информации. 
</w:t>
      </w:r>
      <w:r>
        <w:br/>
      </w:r>
      <w:r>
        <w:rPr>
          <w:rFonts w:ascii="Times New Roman"/>
          <w:b w:val="false"/>
          <w:i w:val="false"/>
          <w:color w:val="000000"/>
          <w:sz w:val="28"/>
        </w:rPr>
        <w:t>
      11. Раздел 3 бизнес-плана Компании "Инвестиционная, маркетинговая и технологическая политика компании" должен включать в себя следующие данные: 
</w:t>
      </w:r>
      <w:r>
        <w:br/>
      </w:r>
      <w:r>
        <w:rPr>
          <w:rFonts w:ascii="Times New Roman"/>
          <w:b w:val="false"/>
          <w:i w:val="false"/>
          <w:color w:val="000000"/>
          <w:sz w:val="28"/>
        </w:rPr>
        <w:t>
      1) подробное описание инвестиционной политики Компании, разработанной на основании анализа экономики и рынков и тенденций их развития; 
</w:t>
      </w:r>
      <w:r>
        <w:br/>
      </w:r>
      <w:r>
        <w:rPr>
          <w:rFonts w:ascii="Times New Roman"/>
          <w:b w:val="false"/>
          <w:i w:val="false"/>
          <w:color w:val="000000"/>
          <w:sz w:val="28"/>
        </w:rPr>
        <w:t>
      2) подробное описание маркетинговой политики Компании (включая описание приемов маркетинга и рекламы), разработанной на основании анализа состояния конкуренции между компаниями по управлению пенсионными активами; 
</w:t>
      </w:r>
      <w:r>
        <w:br/>
      </w:r>
      <w:r>
        <w:rPr>
          <w:rFonts w:ascii="Times New Roman"/>
          <w:b w:val="false"/>
          <w:i w:val="false"/>
          <w:color w:val="000000"/>
          <w:sz w:val="28"/>
        </w:rPr>
        <w:t>
      3) краткосрочный бюджет Компании на маркетинг и рекламу, а также проект среднесрочного бюджета Компании на маркетинг и рекламу, составленные на основании маркетинговой политики Компании; 
</w:t>
      </w:r>
      <w:r>
        <w:br/>
      </w:r>
      <w:r>
        <w:rPr>
          <w:rFonts w:ascii="Times New Roman"/>
          <w:b w:val="false"/>
          <w:i w:val="false"/>
          <w:color w:val="000000"/>
          <w:sz w:val="28"/>
        </w:rPr>
        <w:t>
      4) описание технологической политики Компании; 
</w:t>
      </w:r>
      <w:r>
        <w:br/>
      </w:r>
      <w:r>
        <w:rPr>
          <w:rFonts w:ascii="Times New Roman"/>
          <w:b w:val="false"/>
          <w:i w:val="false"/>
          <w:color w:val="000000"/>
          <w:sz w:val="28"/>
        </w:rPr>
        <w:t>
      5) краткосрочный бюджет Компании на приобретение и совершенствование ("апгрейд") программно-технических и коммуникационных средств, а также проект среднесрочного бюджета Компании на приобретение и совершенствование ("апгрейд") программно-технических и коммуникационных средств, составленные на основании маркетинговой политики Компании. 
</w:t>
      </w:r>
      <w:r>
        <w:br/>
      </w:r>
      <w:r>
        <w:rPr>
          <w:rFonts w:ascii="Times New Roman"/>
          <w:b w:val="false"/>
          <w:i w:val="false"/>
          <w:color w:val="000000"/>
          <w:sz w:val="28"/>
        </w:rPr>
        <w:t>
      12. Степень достаточности раскрытия данных, приведенных Компанией в разделах 2 и 3 представленного на согласование бизнес-плана, определяется Национальной комиссией в ходе его рассмотрения. 
</w:t>
      </w:r>
      <w:r>
        <w:br/>
      </w:r>
      <w:r>
        <w:rPr>
          <w:rFonts w:ascii="Times New Roman"/>
          <w:b w:val="false"/>
          <w:i w:val="false"/>
          <w:color w:val="000000"/>
          <w:sz w:val="28"/>
        </w:rPr>
        <w:t>
      13. Раздел 4 бизнес-плана Компании "Финансовый план (прогноз) на текущий календарный год (с разбивкой по месяцам и кварталам) и на последующие три года (с разбивкой по годам)" должен включать в себя следующие данные: 
</w:t>
      </w:r>
      <w:r>
        <w:br/>
      </w:r>
      <w:r>
        <w:rPr>
          <w:rFonts w:ascii="Times New Roman"/>
          <w:b w:val="false"/>
          <w:i w:val="false"/>
          <w:color w:val="000000"/>
          <w:sz w:val="28"/>
        </w:rPr>
        <w:t>
      1) документы, характеризующие текущее финансовое состояние Компании и состояние пенсионных активов, принятых ею в инвестиционное управление; 
</w:t>
      </w:r>
      <w:r>
        <w:br/>
      </w:r>
      <w:r>
        <w:rPr>
          <w:rFonts w:ascii="Times New Roman"/>
          <w:b w:val="false"/>
          <w:i w:val="false"/>
          <w:color w:val="000000"/>
          <w:sz w:val="28"/>
        </w:rPr>
        <w:t>
      2) план (прогноз) объемов пенсионных активов, которые будут приняты Компанией в инвестиционное управление; 
</w:t>
      </w:r>
      <w:r>
        <w:br/>
      </w:r>
      <w:r>
        <w:rPr>
          <w:rFonts w:ascii="Times New Roman"/>
          <w:b w:val="false"/>
          <w:i w:val="false"/>
          <w:color w:val="000000"/>
          <w:sz w:val="28"/>
        </w:rPr>
        <w:t>
      3) планируемые (прогнозируемые) денежные потоки Компании (оптимистичный, пессимистичный и иные возможные варианты с учетом налогов и отчислений в резервный капитал); 
</w:t>
      </w:r>
      <w:r>
        <w:br/>
      </w:r>
      <w:r>
        <w:rPr>
          <w:rFonts w:ascii="Times New Roman"/>
          <w:b w:val="false"/>
          <w:i w:val="false"/>
          <w:color w:val="000000"/>
          <w:sz w:val="28"/>
        </w:rPr>
        <w:t>
      4) план (прогноз) доходов Компании (с указанием источников доходов); 
</w:t>
      </w:r>
      <w:r>
        <w:br/>
      </w:r>
      <w:r>
        <w:rPr>
          <w:rFonts w:ascii="Times New Roman"/>
          <w:b w:val="false"/>
          <w:i w:val="false"/>
          <w:color w:val="000000"/>
          <w:sz w:val="28"/>
        </w:rPr>
        <w:t>
      5) план (прогноз) расходов Компании (с указанием направлений расходов); 
</w:t>
      </w:r>
      <w:r>
        <w:br/>
      </w:r>
      <w:r>
        <w:rPr>
          <w:rFonts w:ascii="Times New Roman"/>
          <w:b w:val="false"/>
          <w:i w:val="false"/>
          <w:color w:val="000000"/>
          <w:sz w:val="28"/>
        </w:rPr>
        <w:t>
      6) анализ точки безубыточности; 
</w:t>
      </w:r>
      <w:r>
        <w:br/>
      </w:r>
      <w:r>
        <w:rPr>
          <w:rFonts w:ascii="Times New Roman"/>
          <w:b w:val="false"/>
          <w:i w:val="false"/>
          <w:color w:val="000000"/>
          <w:sz w:val="28"/>
        </w:rPr>
        <w:t>
      7) оценка рисков, в том числе рисков снижения доходности по финансовым инструментам, ценовых рисков при реализации финансовых инструментов, ценовых рисков при оплате услуг третьих лиц, рисков неплатежеспособности эмитентов финансовых инструментов, инфляционных рисков, валютных рисков, конкурентных рисков, рисков технических и операционных ошибок Компании и других возможных рисков; 
</w:t>
      </w:r>
      <w:r>
        <w:br/>
      </w:r>
      <w:r>
        <w:rPr>
          <w:rFonts w:ascii="Times New Roman"/>
          <w:b w:val="false"/>
          <w:i w:val="false"/>
          <w:color w:val="000000"/>
          <w:sz w:val="28"/>
        </w:rPr>
        <w:t>
      8) описание предположений, исходя из которых были составлены документы, указанные в подпунктах 2)-7) настоящего пункта. 
</w:t>
      </w:r>
      <w:r>
        <w:br/>
      </w:r>
      <w:r>
        <w:rPr>
          <w:rFonts w:ascii="Times New Roman"/>
          <w:b w:val="false"/>
          <w:i w:val="false"/>
          <w:color w:val="000000"/>
          <w:sz w:val="28"/>
        </w:rPr>
        <w:t>
      14. При рассмотрении представленного на согласование бизнес-плана Компании Национальная комиссия вправе потребовать подтверждения документов, указанных в подпункте 1) пункта 13 настоящей Инструкции, аудиторскими заключениями.
</w:t>
      </w:r>
      <w:r>
        <w:br/>
      </w:r>
      <w:r>
        <w:rPr>
          <w:rFonts w:ascii="Times New Roman"/>
          <w:b w:val="false"/>
          <w:i w:val="false"/>
          <w:color w:val="000000"/>
          <w:sz w:val="28"/>
        </w:rPr>
        <w:t>
      15. Финансовый план (прогноз), приведенный в разделе 4 бизнес-плана Компании, должен быть при необходимости подтвержден расшифровками, документами и ссылками на источники информации.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Национальной комиссии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