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e53d" w14:textId="f24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ежедневной электронной отчетности юридических лиц, обладающих лицензией на осуществление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марта 2002 года N 98. Зарегистрировано в Министерстве юстиции Республики Казахстан 4 мая 2002 года N 1844. Утратило силу - постановлением Правления Агентства РК по регулированию и надзору финансового рынка и финансовых организаций от 21 сентября 2004 года N 262</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финансового рынка и финансовых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организаций от 21 сентября 2004 года N 262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совершенствования нормативной правовой базы и приведения нормативных правовых актов, регулирующих деятельность по инвестиционному управлению пенсионными активами, Правление Агентства РК по регулированию и надзору финансового рынка и финансовых организаций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постановление Правления Национального Банка Республики Казахстан от 26 марта 2002 года N 98 "Об утверждении Правил ежедневной электронной отчетности юридических лиц, обладающих лицензией на осуществление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Республики Казахстан под N 1844...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Сноска. В заголовок внесено изменение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В целях обеспечения сохранности и оперативного контроля за состоянием пенсионных активов накопительных пенсионных фондов Правление Национального Банка Республики Казахстан постановляет: 
</w:t>
      </w:r>
      <w:r>
        <w:br/>
      </w:r>
      <w:r>
        <w:rPr>
          <w:rFonts w:ascii="Times New Roman"/>
          <w:b w:val="false"/>
          <w:i w:val="false"/>
          <w:color w:val="000000"/>
          <w:sz w:val="28"/>
        </w:rPr>
        <w:t>
      1. Утвердить Правила ежедневной электронной отчетности юридических лиц, обладающих лицензией на осуществление деятельности по инвестиционному управлению пенсионными активами (далее - Правила).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Юридические лица, обладающие лицензией на осуществление деятельности по инвестиционному управлению пенсионными активами, обязаны представлять ежедневную электронную отчетность в соответствии с вышеуказанными Правилами по истечении шестидесяти дней со дня введения в действие настоящего постановления.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Пункт 2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Юридические лица, обладающие лицензией на осуществление деятельности по инвестиционному управлению пенсионными активами, обязаны в течение тридцати дней со дня введения в действие настоящего постановления модернизировать свои программно-
</w:t>
      </w:r>
      <w:r>
        <w:br/>
      </w:r>
      <w:r>
        <w:rPr>
          <w:rFonts w:ascii="Times New Roman"/>
          <w:b w:val="false"/>
          <w:i w:val="false"/>
          <w:color w:val="000000"/>
          <w:sz w:val="28"/>
        </w:rPr>
        <w:t>
технические комплексы в целях бесперебойного, полного и достоверного представления ежедневной электронной отчетности в соответствии с вышеуказанными Правилами.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Пункт 3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5.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саморегулируемых организаций профессиональных участников рынка ценных бумаг, Закрытого акционерного общества "Государственный накопительный пенсионный фонд" и Комитета по регулированию деятельности накопительных пенсионных фондов Министерства труда и социальной защиты населения Республики Казахстан. 
</w:t>
      </w:r>
      <w:r>
        <w:br/>
      </w:r>
      <w:r>
        <w:rPr>
          <w:rFonts w:ascii="Times New Roman"/>
          <w:b w:val="false"/>
          <w:i w:val="false"/>
          <w:color w:val="000000"/>
          <w:sz w:val="28"/>
        </w:rPr>
        <w:t>
      6.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Председатель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ежедневной электронной 
</w:t>
      </w:r>
      <w:r>
        <w:br/>
      </w:r>
      <w:r>
        <w:rPr>
          <w:rFonts w:ascii="Times New Roman"/>
          <w:b w:val="false"/>
          <w:i w:val="false"/>
          <w:color w:val="000000"/>
          <w:sz w:val="28"/>
        </w:rPr>
        <w:t>
отчетности юридических лиц, 
</w:t>
      </w:r>
      <w:r>
        <w:br/>
      </w:r>
      <w:r>
        <w:rPr>
          <w:rFonts w:ascii="Times New Roman"/>
          <w:b w:val="false"/>
          <w:i w:val="false"/>
          <w:color w:val="000000"/>
          <w:sz w:val="28"/>
        </w:rPr>
        <w:t>
обладающих лицензией на 
</w:t>
      </w:r>
      <w:r>
        <w:br/>
      </w:r>
      <w:r>
        <w:rPr>
          <w:rFonts w:ascii="Times New Roman"/>
          <w:b w:val="false"/>
          <w:i w:val="false"/>
          <w:color w:val="000000"/>
          <w:sz w:val="28"/>
        </w:rPr>
        <w:t>
осуществление деятельности 
</w:t>
      </w:r>
      <w:r>
        <w:br/>
      </w:r>
      <w:r>
        <w:rPr>
          <w:rFonts w:ascii="Times New Roman"/>
          <w:b w:val="false"/>
          <w:i w:val="false"/>
          <w:color w:val="000000"/>
          <w:sz w:val="28"/>
        </w:rPr>
        <w:t>
по инвестиционному управлению 
</w:t>
      </w:r>
      <w:r>
        <w:br/>
      </w:r>
      <w:r>
        <w:rPr>
          <w:rFonts w:ascii="Times New Roman"/>
          <w:b w:val="false"/>
          <w:i w:val="false"/>
          <w:color w:val="000000"/>
          <w:sz w:val="28"/>
        </w:rPr>
        <w:t>
пенсионными активами"
</w:t>
      </w:r>
      <w:r>
        <w:br/>
      </w:r>
      <w:r>
        <w:rPr>
          <w:rFonts w:ascii="Times New Roman"/>
          <w:b w:val="false"/>
          <w:i w:val="false"/>
          <w:color w:val="000000"/>
          <w:sz w:val="28"/>
        </w:rPr>
        <w:t>
от 26 марта 2002 года N 98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ежедневной электронной отчетности юридических лиц, обладающих лицензией на осуществление деятельности по инвестиционному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Назавание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слова по всему тексту слова "компания", "компании", "компаний", "компанией", "компаниями", "компанию" заменить словами "организация", "организации", "организаций", организацией", "организациями", "организацию";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слова "Национальный Банк", "Национальным Банком", "Национальному Банку", "Национальном Банке", "Национального Банка" заменить словами "уполномоченный орган", "уполномоченным органом", "уполномоченному органу", "уполномоченном органе", "уполномоченного органа"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пенсионном обеспечении в Республике Казахстан" от 20 июня 1997 года и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рынке ценных бумаг" от 5 марта 1997 года в целях обеспечения сохранности и оперативного контроля за состоянием пенсионных активов накопительных пенсионных фондов и определяют порядок представления организациями, осуществляющими деятельность по инвестиционному управлению пенсионными активами, ежедневной электронной отчетности о состоянии пенсионных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Использованные в настоящих Правилах понятия означают следующее: 
</w:t>
      </w:r>
      <w:r>
        <w:br/>
      </w:r>
      <w:r>
        <w:rPr>
          <w:rFonts w:ascii="Times New Roman"/>
          <w:b w:val="false"/>
          <w:i w:val="false"/>
          <w:color w:val="000000"/>
          <w:sz w:val="28"/>
        </w:rPr>
        <w:t>
      1) организация - юридическое лицо, обладающее лицензией на осуществление деятельности по инвестиционному управлению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2)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отчетность - ежедневная электронная отчетность организации о состоянии пенсионных активов, состоящая из типовых форм; 
</w:t>
      </w:r>
      <w:r>
        <w:br/>
      </w:r>
      <w:r>
        <w:rPr>
          <w:rFonts w:ascii="Times New Roman"/>
          <w:b w:val="false"/>
          <w:i w:val="false"/>
          <w:color w:val="000000"/>
          <w:sz w:val="28"/>
        </w:rPr>
        <w:t>
      4) собственное программное обеспечение - разрабатываемая организацией программа по проверке правильности заполнения типовых форм; 
</w:t>
      </w:r>
      <w:r>
        <w:br/>
      </w:r>
      <w:r>
        <w:rPr>
          <w:rFonts w:ascii="Times New Roman"/>
          <w:b w:val="false"/>
          <w:i w:val="false"/>
          <w:color w:val="000000"/>
          <w:sz w:val="28"/>
        </w:rPr>
        <w:t>
      5) специальное программное обеспечение - справочник и программа по заполнению типовых форм, представляемые организации уполномоченным органом; 
</w:t>
      </w:r>
      <w:r>
        <w:br/>
      </w:r>
      <w:r>
        <w:rPr>
          <w:rFonts w:ascii="Times New Roman"/>
          <w:b w:val="false"/>
          <w:i w:val="false"/>
          <w:color w:val="000000"/>
          <w:sz w:val="28"/>
        </w:rPr>
        <w:t>
      6) справочник - электронная база данных, используемая организациями при заполнении типовых форм; 
</w:t>
      </w:r>
      <w:r>
        <w:br/>
      </w:r>
      <w:r>
        <w:rPr>
          <w:rFonts w:ascii="Times New Roman"/>
          <w:b w:val="false"/>
          <w:i w:val="false"/>
          <w:color w:val="000000"/>
          <w:sz w:val="28"/>
        </w:rPr>
        <w:t>
      7) типовые формы - формы ежедневной электронной отчетности организации о состоянии пенсионных активов, составленные согласно приложению 1 к настоящим Правилам;
</w:t>
      </w:r>
      <w:r>
        <w:br/>
      </w:r>
      <w:r>
        <w:rPr>
          <w:rFonts w:ascii="Times New Roman"/>
          <w:b w:val="false"/>
          <w:i w:val="false"/>
          <w:color w:val="000000"/>
          <w:sz w:val="28"/>
        </w:rPr>
        <w:t>
      8) уполномоченный орган - государственный орган, осуществляющий функции и полномочия по регулированию и надзору за деятельностью накопительных пенсионных фондов, юридических лиц, обладающих лицензией на осуществление деятельности по инвестиционному управлению пенсионными активами, банков-
</w:t>
      </w:r>
      <w:r>
        <w:br/>
      </w:r>
      <w:r>
        <w:rPr>
          <w:rFonts w:ascii="Times New Roman"/>
          <w:b w:val="false"/>
          <w:i w:val="false"/>
          <w:color w:val="000000"/>
          <w:sz w:val="28"/>
        </w:rPr>
        <w:t>
кастодианов, страховых организаций.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8) дополнен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Отчетность за истекший рабочий день представляется организацией уполномоченному органу электронной почтой на следующий рабочий день, не позднее 15.00 часов алматинского времени. 
</w:t>
      </w:r>
      <w:r>
        <w:br/>
      </w:r>
      <w:r>
        <w:rPr>
          <w:rFonts w:ascii="Times New Roman"/>
          <w:b w:val="false"/>
          <w:i w:val="false"/>
          <w:color w:val="000000"/>
          <w:sz w:val="28"/>
        </w:rPr>
        <w:t>
      В исключительных случаях, при невозможности передачи отчетности электронной почтой, ее заполненные типовые формы представляются уполномоченному органу на бумажном носителе. При этом каждая отдельная заполненная типовая форма должна быть подписана первым руководителем и главным бухгалтером организации и заверена оттиском печати организации. При представлении заполненных типовых форм на бумажном носителе организация обеспечивает их последующую передачу посредством электронной почты. 
</w:t>
      </w:r>
      <w:r>
        <w:br/>
      </w:r>
      <w:r>
        <w:rPr>
          <w:rFonts w:ascii="Times New Roman"/>
          <w:b w:val="false"/>
          <w:i w:val="false"/>
          <w:color w:val="000000"/>
          <w:sz w:val="28"/>
        </w:rPr>
        <w:t>
      3. Уполномоченный орган обеспечивает организацию: 
</w:t>
      </w:r>
      <w:r>
        <w:br/>
      </w:r>
      <w:r>
        <w:rPr>
          <w:rFonts w:ascii="Times New Roman"/>
          <w:b w:val="false"/>
          <w:i w:val="false"/>
          <w:color w:val="000000"/>
          <w:sz w:val="28"/>
        </w:rPr>
        <w:t>
      1) адресами электронной почты, по которым должна передаваться отчетность; 
</w:t>
      </w:r>
      <w:r>
        <w:br/>
      </w:r>
      <w:r>
        <w:rPr>
          <w:rFonts w:ascii="Times New Roman"/>
          <w:b w:val="false"/>
          <w:i w:val="false"/>
          <w:color w:val="000000"/>
          <w:sz w:val="28"/>
        </w:rPr>
        <w:t>
      2) справочником; 
</w:t>
      </w:r>
      <w:r>
        <w:br/>
      </w:r>
      <w:r>
        <w:rPr>
          <w:rFonts w:ascii="Times New Roman"/>
          <w:b w:val="false"/>
          <w:i w:val="false"/>
          <w:color w:val="000000"/>
          <w:sz w:val="28"/>
        </w:rPr>
        <w:t>
      3) единым для всех организаций специальным программным обеспечением, используемым при заполнении типовых форм и отправке отчетности, и соответствующей технической документацией; 
</w:t>
      </w:r>
      <w:r>
        <w:br/>
      </w:r>
      <w:r>
        <w:rPr>
          <w:rFonts w:ascii="Times New Roman"/>
          <w:b w:val="false"/>
          <w:i w:val="false"/>
          <w:color w:val="000000"/>
          <w:sz w:val="28"/>
        </w:rPr>
        <w:t>
      4) методическими рекомендациями по заполнению типовых форм и отправке отчетности. 
</w:t>
      </w:r>
      <w:r>
        <w:br/>
      </w:r>
      <w:r>
        <w:rPr>
          <w:rFonts w:ascii="Times New Roman"/>
          <w:b w:val="false"/>
          <w:i w:val="false"/>
          <w:color w:val="000000"/>
          <w:sz w:val="28"/>
        </w:rPr>
        <w:t>
      4. Уполномоченный орган обеспечивает конфиденциальность информации, которая содержится в полученной от организации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заполнения типовых форм и отправки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доступа к справочнику и передачи отчетности организация должна получить в уполномоченном органе имя пользователя (имена пользователей) и пароль (пароли), которые могут быть изменены в любое время по письменному заявлению организации, подписанному первым руководителем и заверенному оттиском печати компании. 
</w:t>
      </w:r>
      <w:r>
        <w:br/>
      </w:r>
      <w:r>
        <w:rPr>
          <w:rFonts w:ascii="Times New Roman"/>
          <w:b w:val="false"/>
          <w:i w:val="false"/>
          <w:color w:val="000000"/>
          <w:sz w:val="28"/>
        </w:rPr>
        <w:t>
      6. Перед заполнением типовых форм организация производит обновление справочника, сформированного уполномоченным органом и переданного организации электронной почтой. 
</w:t>
      </w:r>
      <w:r>
        <w:br/>
      </w:r>
      <w:r>
        <w:rPr>
          <w:rFonts w:ascii="Times New Roman"/>
          <w:b w:val="false"/>
          <w:i w:val="false"/>
          <w:color w:val="000000"/>
          <w:sz w:val="28"/>
        </w:rPr>
        <w:t>
      7. После обновления справочника организация заполняет типовые формы согласно полученным от уполномоченного органа указаниям и методическим рекомендациям. При этом: 
</w:t>
      </w:r>
      <w:r>
        <w:br/>
      </w:r>
      <w:r>
        <w:rPr>
          <w:rFonts w:ascii="Times New Roman"/>
          <w:b w:val="false"/>
          <w:i w:val="false"/>
          <w:color w:val="000000"/>
          <w:sz w:val="28"/>
        </w:rPr>
        <w:t>
      1) типовые формы заполняются в разрезе каждого отдельного накопительного пенсионного фонда; 
</w:t>
      </w:r>
      <w:r>
        <w:br/>
      </w:r>
      <w:r>
        <w:rPr>
          <w:rFonts w:ascii="Times New Roman"/>
          <w:b w:val="false"/>
          <w:i w:val="false"/>
          <w:color w:val="000000"/>
          <w:sz w:val="28"/>
        </w:rPr>
        <w:t>
      2) поля типовых форм со ссылкой на справочник заполняются только теми сведениями, которые получены из справочника; 
</w:t>
      </w:r>
      <w:r>
        <w:br/>
      </w:r>
      <w:r>
        <w:rPr>
          <w:rFonts w:ascii="Times New Roman"/>
          <w:b w:val="false"/>
          <w:i w:val="false"/>
          <w:color w:val="000000"/>
          <w:sz w:val="28"/>
        </w:rPr>
        <w:t>
      3) каждое отдельное движение пенсионных активов должно отражаться в отдельной строке типовой формы. 
</w:t>
      </w:r>
      <w:r>
        <w:br/>
      </w:r>
      <w:r>
        <w:rPr>
          <w:rFonts w:ascii="Times New Roman"/>
          <w:b w:val="false"/>
          <w:i w:val="false"/>
          <w:color w:val="000000"/>
          <w:sz w:val="28"/>
        </w:rPr>
        <w:t>
      8. По окончании заполнения типовых форм организация проверяет их с использованием собственного программного обеспечения и/или специального программного обеспечения, полученного от уполномоченного органа. По окончании проверки типовых форм организация передает отчетность в уполномоченный орган. 
</w:t>
      </w:r>
      <w:r>
        <w:br/>
      </w:r>
      <w:r>
        <w:rPr>
          <w:rFonts w:ascii="Times New Roman"/>
          <w:b w:val="false"/>
          <w:i w:val="false"/>
          <w:color w:val="000000"/>
          <w:sz w:val="28"/>
        </w:rPr>
        <w:t>
      9. В случае последующего (после передачи отчетности в уполномоченный орган) выявления ошибок в типовых формах организация обязана в течение трех дней представить уполномоченному органу объяснительное письмо за подписью первого руководителя и передать уполномоченному органу исправленную отчетность.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ежедневной   
</w:t>
      </w:r>
      <w:r>
        <w:br/>
      </w:r>
      <w:r>
        <w:rPr>
          <w:rFonts w:ascii="Times New Roman"/>
          <w:b w:val="false"/>
          <w:i w:val="false"/>
          <w:color w:val="000000"/>
          <w:sz w:val="28"/>
        </w:rPr>
        <w:t>
электронной отчетности  
</w:t>
      </w:r>
      <w:r>
        <w:br/>
      </w:r>
      <w:r>
        <w:rPr>
          <w:rFonts w:ascii="Times New Roman"/>
          <w:b w:val="false"/>
          <w:i w:val="false"/>
          <w:color w:val="000000"/>
          <w:sz w:val="28"/>
        </w:rPr>
        <w:t>
юридических лиц, обладающих 
</w:t>
      </w:r>
      <w:r>
        <w:br/>
      </w:r>
      <w:r>
        <w:rPr>
          <w:rFonts w:ascii="Times New Roman"/>
          <w:b w:val="false"/>
          <w:i w:val="false"/>
          <w:color w:val="000000"/>
          <w:sz w:val="28"/>
        </w:rPr>
        <w:t>
лицензией на осуществление 
</w:t>
      </w:r>
      <w:r>
        <w:br/>
      </w:r>
      <w:r>
        <w:rPr>
          <w:rFonts w:ascii="Times New Roman"/>
          <w:b w:val="false"/>
          <w:i w:val="false"/>
          <w:color w:val="000000"/>
          <w:sz w:val="28"/>
        </w:rPr>
        <w:t>
деятельности по инвестиционному 
</w:t>
      </w:r>
      <w:r>
        <w:br/>
      </w:r>
      <w:r>
        <w:rPr>
          <w:rFonts w:ascii="Times New Roman"/>
          <w:b w:val="false"/>
          <w:i w:val="false"/>
          <w:color w:val="000000"/>
          <w:sz w:val="28"/>
        </w:rPr>
        <w:t>
управлению пенсионными   
</w:t>
      </w:r>
      <w:r>
        <w:br/>
      </w:r>
      <w:r>
        <w:rPr>
          <w:rFonts w:ascii="Times New Roman"/>
          <w:b w:val="false"/>
          <w:i w:val="false"/>
          <w:color w:val="000000"/>
          <w:sz w:val="28"/>
        </w:rPr>
        <w:t>
активами,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марта 2002 года N 98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и содержание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типовых форм ежедневной электронной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осуществляющих деятельность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инвестиционному управлению пенсионными активами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"Денежный баланс"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 валюты (из справочника).
</w:t>
      </w:r>
      <w:r>
        <w:br/>
      </w:r>
      <w:r>
        <w:rPr>
          <w:rFonts w:ascii="Times New Roman"/>
          <w:b w:val="false"/>
          <w:i w:val="false"/>
          <w:color w:val="000000"/>
          <w:sz w:val="28"/>
        </w:rPr>
        <w:t>
      2. Код типа счета (из справочника).
</w:t>
      </w:r>
      <w:r>
        <w:br/>
      </w:r>
      <w:r>
        <w:rPr>
          <w:rFonts w:ascii="Times New Roman"/>
          <w:b w:val="false"/>
          <w:i w:val="false"/>
          <w:color w:val="000000"/>
          <w:sz w:val="28"/>
        </w:rPr>
        <w:t>
      3. Остаток денег на начало дня.
</w:t>
      </w:r>
      <w:r>
        <w:br/>
      </w:r>
      <w:r>
        <w:rPr>
          <w:rFonts w:ascii="Times New Roman"/>
          <w:b w:val="false"/>
          <w:i w:val="false"/>
          <w:color w:val="000000"/>
          <w:sz w:val="28"/>
        </w:rPr>
        <w:t>
      4. Остаток денег на конец дня.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"Движение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 валюты (из справочника).
</w:t>
      </w:r>
      <w:r>
        <w:br/>
      </w:r>
      <w:r>
        <w:rPr>
          <w:rFonts w:ascii="Times New Roman"/>
          <w:b w:val="false"/>
          <w:i w:val="false"/>
          <w:color w:val="000000"/>
          <w:sz w:val="28"/>
        </w:rPr>
        <w:t>
      2. Код типа счета (из справочника).
</w:t>
      </w:r>
      <w:r>
        <w:br/>
      </w:r>
      <w:r>
        <w:rPr>
          <w:rFonts w:ascii="Times New Roman"/>
          <w:b w:val="false"/>
          <w:i w:val="false"/>
          <w:color w:val="000000"/>
          <w:sz w:val="28"/>
        </w:rPr>
        <w:t>
      3. Код вида платежа (из справочника).
</w:t>
      </w:r>
      <w:r>
        <w:br/>
      </w:r>
      <w:r>
        <w:rPr>
          <w:rFonts w:ascii="Times New Roman"/>
          <w:b w:val="false"/>
          <w:i w:val="false"/>
          <w:color w:val="000000"/>
          <w:sz w:val="28"/>
        </w:rPr>
        <w:t>
      4. Сумма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"Прочие активы"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 валюты (из справочника).
</w:t>
      </w:r>
      <w:r>
        <w:br/>
      </w:r>
      <w:r>
        <w:rPr>
          <w:rFonts w:ascii="Times New Roman"/>
          <w:b w:val="false"/>
          <w:i w:val="false"/>
          <w:color w:val="000000"/>
          <w:sz w:val="28"/>
        </w:rPr>
        <w:t>
      2. Код типа счета (из справочника).
</w:t>
      </w:r>
      <w:r>
        <w:br/>
      </w:r>
      <w:r>
        <w:rPr>
          <w:rFonts w:ascii="Times New Roman"/>
          <w:b w:val="false"/>
          <w:i w:val="false"/>
          <w:color w:val="000000"/>
          <w:sz w:val="28"/>
        </w:rPr>
        <w:t>
      3. Остаток денег на начало дня.
</w:t>
      </w:r>
      <w:r>
        <w:br/>
      </w:r>
      <w:r>
        <w:rPr>
          <w:rFonts w:ascii="Times New Roman"/>
          <w:b w:val="false"/>
          <w:i w:val="false"/>
          <w:color w:val="000000"/>
          <w:sz w:val="28"/>
        </w:rPr>
        <w:t>
      4. Остаток денег на конец дня.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"Портфель вкладов"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Типовая форма RC004 в новой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 договора банковского вклада.
</w:t>
      </w:r>
      <w:r>
        <w:br/>
      </w:r>
      <w:r>
        <w:rPr>
          <w:rFonts w:ascii="Times New Roman"/>
          <w:b w:val="false"/>
          <w:i w:val="false"/>
          <w:color w:val="000000"/>
          <w:sz w:val="28"/>
        </w:rPr>
        <w:t>
      2. Количество вкладов.
</w:t>
      </w:r>
      <w:r>
        <w:br/>
      </w:r>
      <w:r>
        <w:rPr>
          <w:rFonts w:ascii="Times New Roman"/>
          <w:b w:val="false"/>
          <w:i w:val="false"/>
          <w:color w:val="000000"/>
          <w:sz w:val="28"/>
        </w:rPr>
        <w:t>
      3. Сумма вклада.
</w:t>
      </w:r>
      <w:r>
        <w:br/>
      </w:r>
      <w:r>
        <w:rPr>
          <w:rFonts w:ascii="Times New Roman"/>
          <w:b w:val="false"/>
          <w:i w:val="false"/>
          <w:color w:val="000000"/>
          <w:sz w:val="28"/>
        </w:rPr>
        <w:t>
      4. Дата перечисления денег с инвестиционного счета во вклад.
</w:t>
      </w:r>
      <w:r>
        <w:br/>
      </w:r>
      <w:r>
        <w:rPr>
          <w:rFonts w:ascii="Times New Roman"/>
          <w:b w:val="false"/>
          <w:i w:val="false"/>
          <w:color w:val="000000"/>
          <w:sz w:val="28"/>
        </w:rPr>
        <w:t>
      5. Дата фактического поступления денег во вклад.
</w:t>
      </w:r>
      <w:r>
        <w:br/>
      </w:r>
      <w:r>
        <w:rPr>
          <w:rFonts w:ascii="Times New Roman"/>
          <w:b w:val="false"/>
          <w:i w:val="false"/>
          <w:color w:val="000000"/>
          <w:sz w:val="28"/>
        </w:rPr>
        <w:t>
      6. Курс валюты вклада к валюте платежа по вкладу.
</w:t>
      </w:r>
      <w:r>
        <w:br/>
      </w:r>
      <w:r>
        <w:rPr>
          <w:rFonts w:ascii="Times New Roman"/>
          <w:b w:val="false"/>
          <w:i w:val="false"/>
          <w:color w:val="000000"/>
          <w:sz w:val="28"/>
        </w:rPr>
        <w:t>
      7. Остаток денег, перечисленных во вклад (заполняется в случае досрочного неполного возврата денег по вкладу с указанием фактического остатка денег по вкладу).
</w:t>
      </w:r>
      <w:r>
        <w:br/>
      </w:r>
      <w:r>
        <w:rPr>
          <w:rFonts w:ascii="Times New Roman"/>
          <w:b w:val="false"/>
          <w:i w:val="false"/>
          <w:color w:val="000000"/>
          <w:sz w:val="28"/>
        </w:rPr>
        <w:t>
      8. Дата возврата денег по вкладу.
</w:t>
      </w:r>
      <w:r>
        <w:br/>
      </w:r>
      <w:r>
        <w:rPr>
          <w:rFonts w:ascii="Times New Roman"/>
          <w:b w:val="false"/>
          <w:i w:val="false"/>
          <w:color w:val="000000"/>
          <w:sz w:val="28"/>
        </w:rPr>
        <w:t>
      9. Ставка вознаграждения по вкладу с учетом изменений условий инвестирования во вклад.
</w:t>
      </w:r>
      <w:r>
        <w:br/>
      </w:r>
      <w:r>
        <w:rPr>
          <w:rFonts w:ascii="Times New Roman"/>
          <w:b w:val="false"/>
          <w:i w:val="false"/>
          <w:color w:val="000000"/>
          <w:sz w:val="28"/>
        </w:rPr>
        <w:t>
      10. Код валюты платежа вклада (из справочника).
</w:t>
      </w:r>
      <w:r>
        <w:br/>
      </w:r>
      <w:r>
        <w:rPr>
          <w:rFonts w:ascii="Times New Roman"/>
          <w:b w:val="false"/>
          <w:i w:val="false"/>
          <w:color w:val="000000"/>
          <w:sz w:val="28"/>
        </w:rPr>
        <w:t>
      11. Код банка, в котором размещены пенсионные активы во вклад.
</w:t>
      </w:r>
      <w:r>
        <w:br/>
      </w:r>
      <w:r>
        <w:rPr>
          <w:rFonts w:ascii="Times New Roman"/>
          <w:b w:val="false"/>
          <w:i w:val="false"/>
          <w:color w:val="000000"/>
          <w:sz w:val="28"/>
        </w:rPr>
        <w:t>
      12. Код валюты вклада (из справочника).
</w:t>
      </w:r>
      <w:r>
        <w:br/>
      </w:r>
      <w:r>
        <w:rPr>
          <w:rFonts w:ascii="Times New Roman"/>
          <w:b w:val="false"/>
          <w:i w:val="false"/>
          <w:color w:val="000000"/>
          <w:sz w:val="28"/>
        </w:rPr>
        <w:t>
      13. Дата заключения договора банковского вклада.
</w:t>
      </w:r>
      <w:r>
        <w:br/>
      </w:r>
      <w:r>
        <w:rPr>
          <w:rFonts w:ascii="Times New Roman"/>
          <w:b w:val="false"/>
          <w:i w:val="false"/>
          <w:color w:val="000000"/>
          <w:sz w:val="28"/>
        </w:rPr>
        <w:t>
      14. Номер договора банковского вклада.
</w:t>
      </w:r>
      <w:r>
        <w:br/>
      </w:r>
      <w:r>
        <w:rPr>
          <w:rFonts w:ascii="Times New Roman"/>
          <w:b w:val="false"/>
          <w:i w:val="false"/>
          <w:color w:val="000000"/>
          <w:sz w:val="28"/>
        </w:rPr>
        <w:t>
      15. Срок вклада (в днях).
</w:t>
      </w:r>
      <w:r>
        <w:br/>
      </w:r>
      <w:r>
        <w:rPr>
          <w:rFonts w:ascii="Times New Roman"/>
          <w:b w:val="false"/>
          <w:i w:val="false"/>
          <w:color w:val="000000"/>
          <w:sz w:val="28"/>
        </w:rPr>
        <w:t>
      16. Начисленное вознаграждение по вкладу.
</w:t>
      </w:r>
      <w:r>
        <w:br/>
      </w:r>
      <w:r>
        <w:rPr>
          <w:rFonts w:ascii="Times New Roman"/>
          <w:b w:val="false"/>
          <w:i w:val="false"/>
          <w:color w:val="000000"/>
          <w:sz w:val="28"/>
        </w:rPr>
        <w:t>
      17. Текущая стоимость вклада в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"Движение по портфелю вкладов"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Типовая форма RC005 в новой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Код договора банковского вклада (формируется организацией самостоятельно).
</w:t>
      </w:r>
      <w:r>
        <w:br/>
      </w:r>
      <w:r>
        <w:rPr>
          <w:rFonts w:ascii="Times New Roman"/>
          <w:b w:val="false"/>
          <w:i w:val="false"/>
          <w:color w:val="000000"/>
          <w:sz w:val="28"/>
        </w:rPr>
        <w:t>
      2. Сумма вклада.
</w:t>
      </w:r>
      <w:r>
        <w:br/>
      </w:r>
      <w:r>
        <w:rPr>
          <w:rFonts w:ascii="Times New Roman"/>
          <w:b w:val="false"/>
          <w:i w:val="false"/>
          <w:color w:val="000000"/>
          <w:sz w:val="28"/>
        </w:rPr>
        <w:t>
      3. Код типа операции (из справочника).
</w:t>
      </w:r>
      <w:r>
        <w:br/>
      </w:r>
      <w:r>
        <w:rPr>
          <w:rFonts w:ascii="Times New Roman"/>
          <w:b w:val="false"/>
          <w:i w:val="false"/>
          <w:color w:val="000000"/>
          <w:sz w:val="28"/>
        </w:rPr>
        <w:t>
      4. Изменение количества вкладов.
</w:t>
      </w:r>
      <w:r>
        <w:br/>
      </w:r>
      <w:r>
        <w:rPr>
          <w:rFonts w:ascii="Times New Roman"/>
          <w:b w:val="false"/>
          <w:i w:val="false"/>
          <w:color w:val="000000"/>
          <w:sz w:val="28"/>
        </w:rPr>
        <w:t>
      5. Дата заключения договора банковского вклада.
</w:t>
      </w:r>
      <w:r>
        <w:br/>
      </w:r>
      <w:r>
        <w:rPr>
          <w:rFonts w:ascii="Times New Roman"/>
          <w:b w:val="false"/>
          <w:i w:val="false"/>
          <w:color w:val="000000"/>
          <w:sz w:val="28"/>
        </w:rPr>
        <w:t>
      6. Дата перечисления денег с инвестиционного счета во вклад.
</w:t>
      </w:r>
      <w:r>
        <w:br/>
      </w:r>
      <w:r>
        <w:rPr>
          <w:rFonts w:ascii="Times New Roman"/>
          <w:b w:val="false"/>
          <w:i w:val="false"/>
          <w:color w:val="000000"/>
          <w:sz w:val="28"/>
        </w:rPr>
        <w:t>
      7. Дата возврата денег по вкладу.
</w:t>
      </w:r>
      <w:r>
        <w:br/>
      </w:r>
      <w:r>
        <w:rPr>
          <w:rFonts w:ascii="Times New Roman"/>
          <w:b w:val="false"/>
          <w:i w:val="false"/>
          <w:color w:val="000000"/>
          <w:sz w:val="28"/>
        </w:rPr>
        <w:t>
      8. Сумма досрочного неполного возврата денег по вкладу.
</w:t>
      </w:r>
      <w:r>
        <w:br/>
      </w:r>
      <w:r>
        <w:rPr>
          <w:rFonts w:ascii="Times New Roman"/>
          <w:b w:val="false"/>
          <w:i w:val="false"/>
          <w:color w:val="000000"/>
          <w:sz w:val="28"/>
        </w:rPr>
        <w:t>
      9. Сумма денег, перечисленная во вклад.
</w:t>
      </w:r>
      <w:r>
        <w:br/>
      </w:r>
      <w:r>
        <w:rPr>
          <w:rFonts w:ascii="Times New Roman"/>
          <w:b w:val="false"/>
          <w:i w:val="false"/>
          <w:color w:val="000000"/>
          <w:sz w:val="28"/>
        </w:rPr>
        <w:t>
      10. Сумма денег, возвращенная по вкладу и/или поступления вознаграждения по вкладу.
</w:t>
      </w:r>
      <w:r>
        <w:br/>
      </w:r>
      <w:r>
        <w:rPr>
          <w:rFonts w:ascii="Times New Roman"/>
          <w:b w:val="false"/>
          <w:i w:val="false"/>
          <w:color w:val="000000"/>
          <w:sz w:val="28"/>
        </w:rPr>
        <w:t>
      11. Ставка вознаграждения по вкладу (заполняется при изменении ставки вознаграждения).
</w:t>
      </w:r>
      <w:r>
        <w:br/>
      </w:r>
      <w:r>
        <w:rPr>
          <w:rFonts w:ascii="Times New Roman"/>
          <w:b w:val="false"/>
          <w:i w:val="false"/>
          <w:color w:val="000000"/>
          <w:sz w:val="28"/>
        </w:rPr>
        <w:t>
      12. Курс конвертации в случае изменения валюты вклада.
</w:t>
      </w:r>
      <w:r>
        <w:br/>
      </w:r>
      <w:r>
        <w:rPr>
          <w:rFonts w:ascii="Times New Roman"/>
          <w:b w:val="false"/>
          <w:i w:val="false"/>
          <w:color w:val="000000"/>
          <w:sz w:val="28"/>
        </w:rPr>
        <w:t>
      13. Код начальной валюты вклада в случае его изменения (из справочника).
</w:t>
      </w:r>
      <w:r>
        <w:br/>
      </w:r>
      <w:r>
        <w:rPr>
          <w:rFonts w:ascii="Times New Roman"/>
          <w:b w:val="false"/>
          <w:i w:val="false"/>
          <w:color w:val="000000"/>
          <w:sz w:val="28"/>
        </w:rPr>
        <w:t>
      14. Код окончательной валюты вклада в случае его изменения (из справочника).
</w:t>
      </w:r>
      <w:r>
        <w:br/>
      </w:r>
      <w:r>
        <w:rPr>
          <w:rFonts w:ascii="Times New Roman"/>
          <w:b w:val="false"/>
          <w:i w:val="false"/>
          <w:color w:val="000000"/>
          <w:sz w:val="28"/>
        </w:rPr>
        <w:t>
      15. Код валюты платежа по вкладу (из справочника).
</w:t>
      </w:r>
      <w:r>
        <w:br/>
      </w:r>
      <w:r>
        <w:rPr>
          <w:rFonts w:ascii="Times New Roman"/>
          <w:b w:val="false"/>
          <w:i w:val="false"/>
          <w:color w:val="000000"/>
          <w:sz w:val="28"/>
        </w:rPr>
        <w:t>
      16. Код валюты вклада (из справочника).
</w:t>
      </w:r>
      <w:r>
        <w:br/>
      </w:r>
      <w:r>
        <w:rPr>
          <w:rFonts w:ascii="Times New Roman"/>
          <w:b w:val="false"/>
          <w:i w:val="false"/>
          <w:color w:val="000000"/>
          <w:sz w:val="28"/>
        </w:rPr>
        <w:t>
      17. Код банка, в котором размещены пенсионные активы во вклад (из справочника).
</w:t>
      </w:r>
      <w:r>
        <w:br/>
      </w:r>
      <w:r>
        <w:rPr>
          <w:rFonts w:ascii="Times New Roman"/>
          <w:b w:val="false"/>
          <w:i w:val="false"/>
          <w:color w:val="000000"/>
          <w:sz w:val="28"/>
        </w:rPr>
        <w:t>
      18. Срок вклада в днях.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"Инвестиционный портфель ценных бумаг"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 ценной бумаги (национальный идентификационный номер (ISIN) из справочника).
</w:t>
      </w:r>
      <w:r>
        <w:br/>
      </w:r>
      <w:r>
        <w:rPr>
          <w:rFonts w:ascii="Times New Roman"/>
          <w:b w:val="false"/>
          <w:i w:val="false"/>
          <w:color w:val="000000"/>
          <w:sz w:val="28"/>
        </w:rPr>
        <w:t>
      2. Код типа операции (из справочника).
</w:t>
      </w:r>
      <w:r>
        <w:br/>
      </w:r>
      <w:r>
        <w:rPr>
          <w:rFonts w:ascii="Times New Roman"/>
          <w:b w:val="false"/>
          <w:i w:val="false"/>
          <w:color w:val="000000"/>
          <w:sz w:val="28"/>
        </w:rPr>
        <w:t>
      3. Количество ценных бумаг на конец дня (в штуках) (для ценных бумаг одного типа (закрытое множество ценных бумаг однородного качества, обладающее характеристиками, которые позволяют однозначно отличить данное множество от других (в том числе и от других типов ценных бумаг, выпущенных тем же эмитентом)) с равными условиями приобретения; для международных облигаций, в отношении которых не применяется штучное выражение, - в качестве единицы объема облигации принимается одна единица иностранной валюты, в которой выражена номинальная стоимость международной облигации). 
</w:t>
      </w:r>
      <w:r>
        <w:br/>
      </w:r>
      <w:r>
        <w:rPr>
          <w:rFonts w:ascii="Times New Roman"/>
          <w:b w:val="false"/>
          <w:i w:val="false"/>
          <w:color w:val="000000"/>
          <w:sz w:val="28"/>
        </w:rPr>
        <w:t>
      4. Дата заключения сделки с ценными бумагами. 
</w:t>
      </w:r>
      <w:r>
        <w:br/>
      </w:r>
      <w:r>
        <w:rPr>
          <w:rFonts w:ascii="Times New Roman"/>
          <w:b w:val="false"/>
          <w:i w:val="false"/>
          <w:color w:val="000000"/>
          <w:sz w:val="28"/>
        </w:rPr>
        <w:t>
      5. Дата перечисления денег с инвестиционного счета в оплату ценных бумаг. 
</w:t>
      </w:r>
      <w:r>
        <w:br/>
      </w:r>
      <w:r>
        <w:rPr>
          <w:rFonts w:ascii="Times New Roman"/>
          <w:b w:val="false"/>
          <w:i w:val="false"/>
          <w:color w:val="000000"/>
          <w:sz w:val="28"/>
        </w:rPr>
        <w:t>
      6. Дата зачисления ценных бумаг на счет "депо" накопительного пенсионного фонда. 
</w:t>
      </w:r>
      <w:r>
        <w:br/>
      </w:r>
      <w:r>
        <w:rPr>
          <w:rFonts w:ascii="Times New Roman"/>
          <w:b w:val="false"/>
          <w:i w:val="false"/>
          <w:color w:val="000000"/>
          <w:sz w:val="28"/>
        </w:rPr>
        <w:t>
      7. Цена приобретения ценных бумаг (ценные бумаги учитываются по фактическим затратам. В стоимость данных ценных бумаг включаются затраты, понесенные при совершении сделки (непосредственно связанные с приобретением ценных бумаг), в том числе: вознаграждения и комиссионные вознаграждения, уплаченные агентам, консультантам, брокерам-дилерам, сборы фондовых бирж, а также банковские расходы по переводу. В стоимость ценных бумаг на данную дату не включается доход продавца по их купону).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в новой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Цена открытия операции "обратное репо" (цена, отраженная в первичном документе, который подтверждает осуществление операции "обратное репо"). 
</w:t>
      </w:r>
      <w:r>
        <w:br/>
      </w:r>
      <w:r>
        <w:rPr>
          <w:rFonts w:ascii="Times New Roman"/>
          <w:b w:val="false"/>
          <w:i w:val="false"/>
          <w:color w:val="000000"/>
          <w:sz w:val="28"/>
        </w:rPr>
        <w:t>
      9. Цена закрытия операции "обратное репо" (цена, отраженная в первичном документе, который подтверждает осуществление операции "обратное репо"). 
</w:t>
      </w:r>
      <w:r>
        <w:br/>
      </w:r>
      <w:r>
        <w:rPr>
          <w:rFonts w:ascii="Times New Roman"/>
          <w:b w:val="false"/>
          <w:i w:val="false"/>
          <w:color w:val="000000"/>
          <w:sz w:val="28"/>
        </w:rPr>
        <w:t>
      10. Доход продавца ценных бумаг по их купону (начисленная сумма купонного дохода продавца ценных бумаг). 
</w:t>
      </w:r>
      <w:r>
        <w:br/>
      </w:r>
      <w:r>
        <w:rPr>
          <w:rFonts w:ascii="Times New Roman"/>
          <w:b w:val="false"/>
          <w:i w:val="false"/>
          <w:color w:val="000000"/>
          <w:sz w:val="28"/>
        </w:rPr>
        <w:t>
      11. Доход продавца ценных бумаг по их купону при закрытии сделки "обратное репо" (начисленная сумма купонного дохода продавца ценных бумаг). 
</w:t>
      </w:r>
      <w:r>
        <w:br/>
      </w:r>
      <w:r>
        <w:rPr>
          <w:rFonts w:ascii="Times New Roman"/>
          <w:b w:val="false"/>
          <w:i w:val="false"/>
          <w:color w:val="000000"/>
          <w:sz w:val="28"/>
        </w:rPr>
        <w:t>
      12. Дата закрытия сделки "обратное репо" с учетом изменений ее условий. 
</w:t>
      </w:r>
      <w:r>
        <w:br/>
      </w:r>
      <w:r>
        <w:rPr>
          <w:rFonts w:ascii="Times New Roman"/>
          <w:b w:val="false"/>
          <w:i w:val="false"/>
          <w:color w:val="000000"/>
          <w:sz w:val="28"/>
        </w:rPr>
        <w:t>
      13. Курс валюты сделки по покупке ценных бумаг, номинированных в иностранной валюте (см. пояснения к пункту 3 типовой формы RС006). 
</w:t>
      </w:r>
      <w:r>
        <w:br/>
      </w:r>
      <w:r>
        <w:rPr>
          <w:rFonts w:ascii="Times New Roman"/>
          <w:b w:val="false"/>
          <w:i w:val="false"/>
          <w:color w:val="000000"/>
          <w:sz w:val="28"/>
        </w:rPr>
        <w:t>
      14. Заявленный курс сделки "обратное репо" по ценным бумагам, 
</w:t>
      </w:r>
      <w:r>
        <w:br/>
      </w:r>
      <w:r>
        <w:rPr>
          <w:rFonts w:ascii="Times New Roman"/>
          <w:b w:val="false"/>
          <w:i w:val="false"/>
          <w:color w:val="000000"/>
          <w:sz w:val="28"/>
        </w:rPr>
        <w:t>
номинированным в иностранной валюте, при ее закрытии.
</w:t>
      </w:r>
      <w:r>
        <w:br/>
      </w:r>
      <w:r>
        <w:rPr>
          <w:rFonts w:ascii="Times New Roman"/>
          <w:b w:val="false"/>
          <w:i w:val="false"/>
          <w:color w:val="000000"/>
          <w:sz w:val="28"/>
        </w:rPr>
        <w:t>
      15. Код валюты платежа в оплату ценных бумаг (из справочника).
</w:t>
      </w:r>
      <w:r>
        <w:br/>
      </w:r>
      <w:r>
        <w:rPr>
          <w:rFonts w:ascii="Times New Roman"/>
          <w:b w:val="false"/>
          <w:i w:val="false"/>
          <w:color w:val="000000"/>
          <w:sz w:val="28"/>
        </w:rPr>
        <w:t>
      16. Код брокера, заключившего сделку по поручению, за счет и в интересах компании (из справочника).
</w:t>
      </w:r>
      <w:r>
        <w:br/>
      </w:r>
      <w:r>
        <w:rPr>
          <w:rFonts w:ascii="Times New Roman"/>
          <w:b w:val="false"/>
          <w:i w:val="false"/>
          <w:color w:val="000000"/>
          <w:sz w:val="28"/>
        </w:rPr>
        <w:t>
      17. Дата постановки ценных бумаг на учет.
</w:t>
      </w:r>
      <w:r>
        <w:br/>
      </w:r>
      <w:r>
        <w:rPr>
          <w:rFonts w:ascii="Times New Roman"/>
          <w:b w:val="false"/>
          <w:i w:val="false"/>
          <w:color w:val="000000"/>
          <w:sz w:val="28"/>
        </w:rPr>
        <w:t>
      18. Ставка доходности по сделке "обратное репо", установленная в торговой системе организатора торгов с ценными бумагами (совокупность взаимосвязанных помещений, оборудования, инвентаря, программно-технических средств, документов, регулирующих внутреннюю деятельность ЗАО "Казахстанская фондовая биржа" и иных необходимых активов и процедур, посредством которой заключаются сделки с ценными бумагами между Брокерами-дилерами - членами ЗАО "Казахстанская фондовая биржа").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Суммарное начисленное вознаграждение по ценной бумаге.
</w:t>
      </w:r>
      <w:r>
        <w:br/>
      </w:r>
      <w:r>
        <w:rPr>
          <w:rFonts w:ascii="Times New Roman"/>
          <w:b w:val="false"/>
          <w:i w:val="false"/>
          <w:color w:val="000000"/>
          <w:sz w:val="28"/>
        </w:rPr>
        <w:t>
      20. Суммарная текущая стоимость по ценной бумаге в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"Движение в инвестиционном портфеле ценных бумаг"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 ценной бумаги (национальный идентификационный номер (ISIN) из справочника).
</w:t>
      </w:r>
      <w:r>
        <w:br/>
      </w:r>
      <w:r>
        <w:rPr>
          <w:rFonts w:ascii="Times New Roman"/>
          <w:b w:val="false"/>
          <w:i w:val="false"/>
          <w:color w:val="000000"/>
          <w:sz w:val="28"/>
        </w:rPr>
        <w:t>
      2. Код типа операции (из справочника).
</w:t>
      </w:r>
      <w:r>
        <w:br/>
      </w:r>
      <w:r>
        <w:rPr>
          <w:rFonts w:ascii="Times New Roman"/>
          <w:b w:val="false"/>
          <w:i w:val="false"/>
          <w:color w:val="000000"/>
          <w:sz w:val="28"/>
        </w:rPr>
        <w:t>
      3. Изменение количества ценных бумаг на конец дня (в штуках) (см. пояснения к пункту 3 типовой формы RС006).
</w:t>
      </w:r>
      <w:r>
        <w:br/>
      </w:r>
      <w:r>
        <w:rPr>
          <w:rFonts w:ascii="Times New Roman"/>
          <w:b w:val="false"/>
          <w:i w:val="false"/>
          <w:color w:val="000000"/>
          <w:sz w:val="28"/>
        </w:rPr>
        <w:t>
      4. Дата заключения сделки с ценными бумагами.
</w:t>
      </w:r>
      <w:r>
        <w:br/>
      </w:r>
      <w:r>
        <w:rPr>
          <w:rFonts w:ascii="Times New Roman"/>
          <w:b w:val="false"/>
          <w:i w:val="false"/>
          <w:color w:val="000000"/>
          <w:sz w:val="28"/>
        </w:rPr>
        <w:t>
      5. Дата перечисления денег с инвестиционного счета в оплату ценных бумаг.
</w:t>
      </w:r>
      <w:r>
        <w:br/>
      </w:r>
      <w:r>
        <w:rPr>
          <w:rFonts w:ascii="Times New Roman"/>
          <w:b w:val="false"/>
          <w:i w:val="false"/>
          <w:color w:val="000000"/>
          <w:sz w:val="28"/>
        </w:rPr>
        <w:t>
      6. Дата поступления денег на инвестиционный счет при продаже ценных бумаг (для сделок "обратное репо" - дата закрытия). 
</w:t>
      </w:r>
      <w:r>
        <w:br/>
      </w:r>
      <w:r>
        <w:rPr>
          <w:rFonts w:ascii="Times New Roman"/>
          <w:b w:val="false"/>
          <w:i w:val="false"/>
          <w:color w:val="000000"/>
          <w:sz w:val="28"/>
        </w:rPr>
        <w:t>
      7. Цена приобретения ценных бумаг (ценные бумаги учитываются по фактическим затратам. В стоимость данных ценных бумаг включаются затраты, понесенные при совершении сделки (непосредственно связанные с приобретением ценных бумаг), в том числе: вознаграждения и комиссионные вознаграждения, уплаченные агентам, консультантам, брокерам-дилерам, сборы фондовых бирж, а также банковские расходы по переводу. В стоимость ценных бумаг на данную дату не включается доход продавца по их купону).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в новой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Цена продажи ценных бумаг. 
</w:t>
      </w:r>
      <w:r>
        <w:br/>
      </w:r>
      <w:r>
        <w:rPr>
          <w:rFonts w:ascii="Times New Roman"/>
          <w:b w:val="false"/>
          <w:i w:val="false"/>
          <w:color w:val="000000"/>
          <w:sz w:val="28"/>
        </w:rPr>
        <w:t>
      9. Доход продавца ценных бумаг по их купону (начисленная сумма купонного дохода продавца ценных бумаг) при покупке ценных бумаг.
</w:t>
      </w:r>
      <w:r>
        <w:br/>
      </w:r>
      <w:r>
        <w:rPr>
          <w:rFonts w:ascii="Times New Roman"/>
          <w:b w:val="false"/>
          <w:i w:val="false"/>
          <w:color w:val="000000"/>
          <w:sz w:val="28"/>
        </w:rPr>
        <w:t>
      10. Доход продавца ценных бумаг по их купону (начисленная сумма купонного дохода продавца ценных бумаг) при продаже ценных бумаг.
</w:t>
      </w:r>
      <w:r>
        <w:br/>
      </w:r>
      <w:r>
        <w:rPr>
          <w:rFonts w:ascii="Times New Roman"/>
          <w:b w:val="false"/>
          <w:i w:val="false"/>
          <w:color w:val="000000"/>
          <w:sz w:val="28"/>
        </w:rPr>
        <w:t>
      11. Курс валюты сделки по покупке ценных бумаг, номинированных в иностранной валюте (в случае заключения сделки в торговой системе организатора торгов с ценными бумагами).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Курс валюты сделки по продаже ценных бумаг, номинированных в иностранной валюте (в случае заключения сделки в торговой системе организатора торгов с ценными бумагами).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Код валюты платежа в оплату ценных бумаг (из справочника).
</w:t>
      </w:r>
      <w:r>
        <w:br/>
      </w:r>
      <w:r>
        <w:rPr>
          <w:rFonts w:ascii="Times New Roman"/>
          <w:b w:val="false"/>
          <w:i w:val="false"/>
          <w:color w:val="000000"/>
          <w:sz w:val="28"/>
        </w:rPr>
        <w:t>
      14. Код валюты платежа при продаже ценных бумаг (из справочника).
</w:t>
      </w:r>
      <w:r>
        <w:br/>
      </w:r>
      <w:r>
        <w:rPr>
          <w:rFonts w:ascii="Times New Roman"/>
          <w:b w:val="false"/>
          <w:i w:val="false"/>
          <w:color w:val="000000"/>
          <w:sz w:val="28"/>
        </w:rPr>
        <w:t>
      15. Код брокера, заключившего сделку по поручению, за счет и в интересах компании (из справочника).
</w:t>
      </w:r>
      <w:r>
        <w:br/>
      </w:r>
      <w:r>
        <w:rPr>
          <w:rFonts w:ascii="Times New Roman"/>
          <w:b w:val="false"/>
          <w:i w:val="false"/>
          <w:color w:val="000000"/>
          <w:sz w:val="28"/>
        </w:rPr>
        <w:t>
      16. Сумма оплаты услуг банка.
</w:t>
      </w:r>
      <w:r>
        <w:br/>
      </w:r>
      <w:r>
        <w:rPr>
          <w:rFonts w:ascii="Times New Roman"/>
          <w:b w:val="false"/>
          <w:i w:val="false"/>
          <w:color w:val="000000"/>
          <w:sz w:val="28"/>
        </w:rPr>
        <w:t>
      17. Сумма оплаты услуг брокера-дилера.
</w:t>
      </w:r>
      <w:r>
        <w:br/>
      </w:r>
      <w:r>
        <w:rPr>
          <w:rFonts w:ascii="Times New Roman"/>
          <w:b w:val="false"/>
          <w:i w:val="false"/>
          <w:color w:val="000000"/>
          <w:sz w:val="28"/>
        </w:rPr>
        <w:t>
      18. Сумма оплаты услуг организатора торгов с ценными бумагами.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Место совершения сделки (из справочника).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Типовая форма RC008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"Оценка пенсионных активов"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 валюты (из справочника). 
</w:t>
      </w:r>
      <w:r>
        <w:br/>
      </w:r>
      <w:r>
        <w:rPr>
          <w:rFonts w:ascii="Times New Roman"/>
          <w:b w:val="false"/>
          <w:i w:val="false"/>
          <w:color w:val="000000"/>
          <w:sz w:val="28"/>
        </w:rPr>
        <w:t>
      2. Текущая стоимость пенсионных активов на начало дня.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Текущая стоимость пенсионных активов на конец дня.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29 апреля 2003 года N 147.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Стоимость "чистых" пенсионных активов на начало дня.
</w:t>
      </w:r>
      <w:r>
        <w:br/>
      </w:r>
      <w:r>
        <w:rPr>
          <w:rFonts w:ascii="Times New Roman"/>
          <w:b w:val="false"/>
          <w:i w:val="false"/>
          <w:color w:val="000000"/>
          <w:sz w:val="28"/>
        </w:rPr>
        <w:t>
      5. Стоимость "чистых" пенсионных активов на конец дня.
</w:t>
      </w:r>
      <w:r>
        <w:br/>
      </w:r>
      <w:r>
        <w:rPr>
          <w:rFonts w:ascii="Times New Roman"/>
          <w:b w:val="false"/>
          <w:i w:val="false"/>
          <w:color w:val="000000"/>
          <w:sz w:val="28"/>
        </w:rPr>
        <w:t>
      6. Изменение стоимости пенсионных активов на конец дня.
</w:t>
      </w:r>
      <w:r>
        <w:br/>
      </w:r>
      <w:r>
        <w:rPr>
          <w:rFonts w:ascii="Times New Roman"/>
          <w:b w:val="false"/>
          <w:i w:val="false"/>
          <w:color w:val="000000"/>
          <w:sz w:val="28"/>
        </w:rPr>
        <w:t>
      7. Изменение стоимости "чистых" пенсионных активов на конец дня.
</w:t>
      </w:r>
      <w:r>
        <w:br/>
      </w:r>
      <w:r>
        <w:rPr>
          <w:rFonts w:ascii="Times New Roman"/>
          <w:b w:val="false"/>
          <w:i w:val="false"/>
          <w:color w:val="000000"/>
          <w:sz w:val="28"/>
        </w:rPr>
        <w:t>
      8. Остаток задолженности по комиссионному вознаграждению от 
</w:t>
      </w:r>
      <w:r>
        <w:br/>
      </w:r>
      <w:r>
        <w:rPr>
          <w:rFonts w:ascii="Times New Roman"/>
          <w:b w:val="false"/>
          <w:i w:val="false"/>
          <w:color w:val="000000"/>
          <w:sz w:val="28"/>
        </w:rPr>
        <w:t>
пенсионных активов на конец дня.
</w:t>
      </w:r>
      <w:r>
        <w:br/>
      </w:r>
      <w:r>
        <w:rPr>
          <w:rFonts w:ascii="Times New Roman"/>
          <w:b w:val="false"/>
          <w:i w:val="false"/>
          <w:color w:val="000000"/>
          <w:sz w:val="28"/>
        </w:rPr>
        <w:t>
      9. Остаток задолженности по комиссионному вознаграждению от инвестиционного дохода на конец дня.
</w:t>
      </w:r>
      <w:r>
        <w:br/>
      </w:r>
      <w:r>
        <w:rPr>
          <w:rFonts w:ascii="Times New Roman"/>
          <w:b w:val="false"/>
          <w:i w:val="false"/>
          <w:color w:val="000000"/>
          <w:sz w:val="28"/>
        </w:rPr>
        <w:t>
      10. Остаток пенсионных обязательств накопительного пенсионного фонда на конец дня.
</w:t>
      </w:r>
      <w:r>
        <w:br/>
      </w:r>
      <w:r>
        <w:rPr>
          <w:rFonts w:ascii="Times New Roman"/>
          <w:b w:val="false"/>
          <w:i w:val="false"/>
          <w:color w:val="000000"/>
          <w:sz w:val="28"/>
        </w:rPr>
        <w:t>
      11. Общий показатель (итого) обязательств по пенсионным активам на конец дня.
</w:t>
      </w:r>
      <w:r>
        <w:br/>
      </w:r>
      <w:r>
        <w:rPr>
          <w:rFonts w:ascii="Times New Roman"/>
          <w:b w:val="false"/>
          <w:i w:val="false"/>
          <w:color w:val="000000"/>
          <w:sz w:val="28"/>
        </w:rPr>
        <w:t>
      12. Всего стоимость финансовых инвестиций на начало дня.
</w:t>
      </w:r>
      <w:r>
        <w:br/>
      </w:r>
      <w:r>
        <w:rPr>
          <w:rFonts w:ascii="Times New Roman"/>
          <w:b w:val="false"/>
          <w:i w:val="false"/>
          <w:color w:val="000000"/>
          <w:sz w:val="28"/>
        </w:rPr>
        <w:t>
      13. Всего стоимость финансовых инвестиций на конец дня.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